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9426" w14:textId="34598625" w:rsidR="005A76C0" w:rsidRPr="00C00D18" w:rsidRDefault="005A76C0" w:rsidP="000F2EB3">
      <w:pPr>
        <w:pStyle w:val="Heading1"/>
        <w:rPr>
          <w:b/>
          <w:bCs/>
        </w:rPr>
      </w:pPr>
      <w:r w:rsidRPr="00C00D18">
        <w:rPr>
          <w:b/>
          <w:bCs/>
        </w:rPr>
        <w:t xml:space="preserve">WKT EOS Role Scorecard for </w:t>
      </w:r>
      <w:r w:rsidR="00C00D18" w:rsidRPr="00C00D18">
        <w:rPr>
          <w:b/>
          <w:bCs/>
        </w:rPr>
        <w:t>Head of Delivery</w:t>
      </w:r>
    </w:p>
    <w:p w14:paraId="22ABCFA4" w14:textId="77777777" w:rsidR="000F2EB3" w:rsidRDefault="005A76C0" w:rsidP="005A76C0">
      <w:pPr>
        <w:spacing w:before="120" w:after="120" w:line="276" w:lineRule="auto"/>
        <w:rPr>
          <w:sz w:val="22"/>
          <w:szCs w:val="22"/>
        </w:rPr>
      </w:pPr>
      <w:r w:rsidRPr="005A76C0">
        <w:rPr>
          <w:b/>
          <w:bCs/>
          <w:sz w:val="22"/>
          <w:szCs w:val="22"/>
        </w:rPr>
        <w:t>Date Updated:</w:t>
      </w:r>
      <w:r w:rsidRPr="005A76C0">
        <w:rPr>
          <w:sz w:val="22"/>
          <w:szCs w:val="22"/>
        </w:rPr>
        <w:t xml:space="preserve"> March 2026 </w:t>
      </w:r>
    </w:p>
    <w:p w14:paraId="038B695D" w14:textId="57D164C4" w:rsidR="000F2EB3" w:rsidRDefault="005A76C0" w:rsidP="005A76C0">
      <w:pPr>
        <w:spacing w:before="120" w:after="120" w:line="276" w:lineRule="auto"/>
        <w:rPr>
          <w:sz w:val="22"/>
          <w:szCs w:val="22"/>
        </w:rPr>
      </w:pPr>
      <w:r w:rsidRPr="005A76C0">
        <w:rPr>
          <w:b/>
          <w:bCs/>
          <w:sz w:val="22"/>
          <w:szCs w:val="22"/>
        </w:rPr>
        <w:t>Functional Role:</w:t>
      </w:r>
      <w:r w:rsidRPr="005A76C0">
        <w:rPr>
          <w:sz w:val="22"/>
          <w:szCs w:val="22"/>
        </w:rPr>
        <w:t xml:space="preserve"> </w:t>
      </w:r>
      <w:r w:rsidR="00C00D18">
        <w:rPr>
          <w:sz w:val="22"/>
          <w:szCs w:val="22"/>
        </w:rPr>
        <w:t>Head of Delivery</w:t>
      </w:r>
      <w:r w:rsidRPr="005A76C0">
        <w:rPr>
          <w:sz w:val="22"/>
          <w:szCs w:val="22"/>
        </w:rPr>
        <w:t xml:space="preserve"> </w:t>
      </w:r>
    </w:p>
    <w:p w14:paraId="73388C49" w14:textId="77777777" w:rsidR="000F2EB3" w:rsidRDefault="005A76C0" w:rsidP="005A76C0">
      <w:pPr>
        <w:spacing w:before="120" w:after="120" w:line="276" w:lineRule="auto"/>
        <w:rPr>
          <w:sz w:val="22"/>
          <w:szCs w:val="22"/>
        </w:rPr>
      </w:pPr>
      <w:r w:rsidRPr="005A76C0">
        <w:rPr>
          <w:b/>
          <w:bCs/>
          <w:sz w:val="22"/>
          <w:szCs w:val="22"/>
        </w:rPr>
        <w:t>Level:</w:t>
      </w:r>
      <w:r w:rsidRPr="005A76C0">
        <w:rPr>
          <w:sz w:val="22"/>
          <w:szCs w:val="22"/>
        </w:rPr>
        <w:t xml:space="preserve"> Vice President / Department Lead </w:t>
      </w:r>
    </w:p>
    <w:p w14:paraId="2A737002" w14:textId="77777777" w:rsidR="000F2EB3" w:rsidRDefault="005A76C0" w:rsidP="005A76C0">
      <w:pPr>
        <w:spacing w:before="120" w:after="120" w:line="276" w:lineRule="auto"/>
        <w:rPr>
          <w:sz w:val="22"/>
          <w:szCs w:val="22"/>
        </w:rPr>
      </w:pPr>
      <w:r w:rsidRPr="005A76C0">
        <w:rPr>
          <w:b/>
          <w:bCs/>
          <w:sz w:val="22"/>
          <w:szCs w:val="22"/>
        </w:rPr>
        <w:t>Reports To:</w:t>
      </w:r>
      <w:r w:rsidRPr="005A76C0">
        <w:rPr>
          <w:sz w:val="22"/>
          <w:szCs w:val="22"/>
        </w:rPr>
        <w:t xml:space="preserve"> President &amp; COO </w:t>
      </w:r>
    </w:p>
    <w:p w14:paraId="7F173EE8" w14:textId="77777777" w:rsidR="000F2EB3" w:rsidRDefault="005A76C0" w:rsidP="000F2EB3">
      <w:pPr>
        <w:pStyle w:val="Heading2"/>
      </w:pPr>
      <w:r w:rsidRPr="005A76C0">
        <w:t xml:space="preserve">Direct Reports: </w:t>
      </w:r>
    </w:p>
    <w:p w14:paraId="22CFCF86" w14:textId="77777777" w:rsidR="009E5F25" w:rsidRDefault="005A76C0" w:rsidP="009E5F25">
      <w:pPr>
        <w:pStyle w:val="ListParagraph"/>
        <w:numPr>
          <w:ilvl w:val="0"/>
          <w:numId w:val="2"/>
        </w:numPr>
        <w:spacing w:before="120" w:after="120" w:line="276" w:lineRule="auto"/>
        <w:rPr>
          <w:sz w:val="22"/>
          <w:szCs w:val="22"/>
        </w:rPr>
      </w:pPr>
      <w:r w:rsidRPr="000F2EB3">
        <w:rPr>
          <w:sz w:val="22"/>
          <w:szCs w:val="22"/>
        </w:rPr>
        <w:t>Customer</w:t>
      </w:r>
      <w:r w:rsidR="009E5F25" w:rsidRPr="009E5F25">
        <w:rPr>
          <w:sz w:val="22"/>
          <w:szCs w:val="22"/>
        </w:rPr>
        <w:t xml:space="preserve"> Onboarding </w:t>
      </w:r>
    </w:p>
    <w:p w14:paraId="26F910D7" w14:textId="77777777" w:rsidR="009E5F25" w:rsidRDefault="009E5F25" w:rsidP="009E5F25">
      <w:pPr>
        <w:pStyle w:val="ListParagraph"/>
        <w:numPr>
          <w:ilvl w:val="0"/>
          <w:numId w:val="2"/>
        </w:numPr>
        <w:spacing w:before="120" w:after="120" w:line="276" w:lineRule="auto"/>
        <w:rPr>
          <w:sz w:val="22"/>
          <w:szCs w:val="22"/>
        </w:rPr>
      </w:pPr>
      <w:r w:rsidRPr="009E5F25">
        <w:rPr>
          <w:sz w:val="22"/>
          <w:szCs w:val="22"/>
        </w:rPr>
        <w:t xml:space="preserve">Customer Success </w:t>
      </w:r>
    </w:p>
    <w:p w14:paraId="61222850" w14:textId="77777777" w:rsidR="009E5F25" w:rsidRDefault="009E5F25" w:rsidP="009E5F25">
      <w:pPr>
        <w:pStyle w:val="ListParagraph"/>
        <w:numPr>
          <w:ilvl w:val="0"/>
          <w:numId w:val="2"/>
        </w:numPr>
        <w:spacing w:before="120" w:after="120" w:line="276" w:lineRule="auto"/>
        <w:rPr>
          <w:sz w:val="22"/>
          <w:szCs w:val="22"/>
        </w:rPr>
      </w:pPr>
      <w:r w:rsidRPr="009E5F25">
        <w:rPr>
          <w:sz w:val="22"/>
          <w:szCs w:val="22"/>
        </w:rPr>
        <w:t xml:space="preserve">Customer Support </w:t>
      </w:r>
    </w:p>
    <w:p w14:paraId="5F55CF8C" w14:textId="77777777" w:rsidR="009E5F25" w:rsidRDefault="009E5F25" w:rsidP="009E5F25">
      <w:pPr>
        <w:pStyle w:val="ListParagraph"/>
        <w:numPr>
          <w:ilvl w:val="0"/>
          <w:numId w:val="2"/>
        </w:numPr>
        <w:spacing w:before="120" w:after="120" w:line="276" w:lineRule="auto"/>
        <w:rPr>
          <w:sz w:val="22"/>
          <w:szCs w:val="22"/>
        </w:rPr>
      </w:pPr>
      <w:r w:rsidRPr="009E5F25">
        <w:rPr>
          <w:sz w:val="22"/>
          <w:szCs w:val="22"/>
        </w:rPr>
        <w:t xml:space="preserve">Fleet Safety Delivery </w:t>
      </w:r>
    </w:p>
    <w:p w14:paraId="6FF3E3CA" w14:textId="77777777" w:rsidR="009E5F25" w:rsidRDefault="009E5F25" w:rsidP="009E5F25">
      <w:pPr>
        <w:pStyle w:val="ListParagraph"/>
        <w:numPr>
          <w:ilvl w:val="0"/>
          <w:numId w:val="2"/>
        </w:numPr>
        <w:spacing w:before="120" w:after="120" w:line="276" w:lineRule="auto"/>
        <w:rPr>
          <w:sz w:val="22"/>
          <w:szCs w:val="22"/>
        </w:rPr>
      </w:pPr>
      <w:r w:rsidRPr="009E5F25">
        <w:rPr>
          <w:sz w:val="22"/>
          <w:szCs w:val="22"/>
        </w:rPr>
        <w:t xml:space="preserve">Platform SLA &amp; Client Escalation </w:t>
      </w:r>
    </w:p>
    <w:p w14:paraId="7648D5B0" w14:textId="77777777" w:rsidR="009E5F25" w:rsidRDefault="009E5F25" w:rsidP="009E5F25">
      <w:pPr>
        <w:pStyle w:val="ListParagraph"/>
        <w:numPr>
          <w:ilvl w:val="0"/>
          <w:numId w:val="2"/>
        </w:numPr>
        <w:spacing w:before="120" w:after="120" w:line="276" w:lineRule="auto"/>
        <w:rPr>
          <w:sz w:val="22"/>
          <w:szCs w:val="22"/>
        </w:rPr>
      </w:pPr>
      <w:r w:rsidRPr="009E5F25">
        <w:rPr>
          <w:sz w:val="22"/>
          <w:szCs w:val="22"/>
        </w:rPr>
        <w:t xml:space="preserve">Operations &amp; Fulfillment </w:t>
      </w:r>
    </w:p>
    <w:p w14:paraId="670D1846" w14:textId="44687477" w:rsidR="005A76C0" w:rsidRDefault="009E5F25" w:rsidP="009E5F25">
      <w:pPr>
        <w:pStyle w:val="ListParagraph"/>
        <w:numPr>
          <w:ilvl w:val="0"/>
          <w:numId w:val="2"/>
        </w:numPr>
        <w:spacing w:before="120" w:after="120" w:line="276" w:lineRule="auto"/>
        <w:rPr>
          <w:sz w:val="22"/>
          <w:szCs w:val="22"/>
        </w:rPr>
      </w:pPr>
      <w:r w:rsidRPr="009E5F25">
        <w:rPr>
          <w:sz w:val="22"/>
          <w:szCs w:val="22"/>
        </w:rPr>
        <w:t>Renewal &amp; Expansion</w:t>
      </w:r>
    </w:p>
    <w:p w14:paraId="60E50A41" w14:textId="77777777" w:rsidR="009E5F25" w:rsidRPr="005A76C0" w:rsidRDefault="009E5F25" w:rsidP="009E5F25">
      <w:pPr>
        <w:pStyle w:val="ListParagraph"/>
        <w:spacing w:before="120" w:after="120" w:line="276" w:lineRule="auto"/>
        <w:rPr>
          <w:sz w:val="22"/>
          <w:szCs w:val="22"/>
        </w:rPr>
      </w:pPr>
    </w:p>
    <w:p w14:paraId="7C692B10" w14:textId="77777777" w:rsidR="005A76C0" w:rsidRPr="005A76C0" w:rsidRDefault="005A76C0" w:rsidP="000F2EB3">
      <w:pPr>
        <w:pStyle w:val="Heading2"/>
      </w:pPr>
      <w:r w:rsidRPr="005A76C0">
        <w:t>Purpose of the Role</w:t>
      </w:r>
    </w:p>
    <w:p w14:paraId="70E3764B" w14:textId="77777777" w:rsidR="00E74A68" w:rsidRPr="00E74A68" w:rsidRDefault="00E74A68" w:rsidP="00E74A68">
      <w:pPr>
        <w:spacing w:before="120" w:after="120" w:line="276" w:lineRule="auto"/>
        <w:rPr>
          <w:sz w:val="22"/>
          <w:szCs w:val="22"/>
        </w:rPr>
      </w:pPr>
      <w:r w:rsidRPr="00E74A68">
        <w:rPr>
          <w:sz w:val="22"/>
          <w:szCs w:val="22"/>
        </w:rPr>
        <w:t>The Head of Delivery owns the full customer lifecycle after the sale: Onboard, Adopt, Expand. This seat is accountable for ensuring WKT's promise to customers is kept consistently, at scale, and within cost, and for turning every customer relationship into a retained and growing one. The Head of Delivery owns the operational delivery chain (customer support, digital and physical fulfillment, storefront operational reliability, ILT and Fleet Safety delivery, and launch readiness infrastructure) and the strategic customer success function (onboarding experience, adoption outcomes, renewal execution, and expansion pipeline). This seat is the function that protects WKT's reputation in its Operate contexts where execution quality is not a differentiator but a baseline expectation, and where a single failure carries disproportionate consequence. It is also the function that drives Net Revenue Retention, making Delivery a revenue function, not just a cost centre.</w:t>
      </w:r>
    </w:p>
    <w:p w14:paraId="221DF090" w14:textId="49756425" w:rsidR="005A76C0" w:rsidRPr="005A76C0" w:rsidRDefault="005A76C0" w:rsidP="005A76C0">
      <w:pPr>
        <w:spacing w:before="120" w:after="120" w:line="276" w:lineRule="auto"/>
        <w:rPr>
          <w:sz w:val="22"/>
          <w:szCs w:val="22"/>
        </w:rPr>
      </w:pPr>
    </w:p>
    <w:p w14:paraId="71A28B0B" w14:textId="77777777" w:rsidR="005A76C0" w:rsidRPr="005A76C0" w:rsidRDefault="005A76C0" w:rsidP="000F2EB3">
      <w:pPr>
        <w:pStyle w:val="Heading2"/>
      </w:pPr>
      <w:r w:rsidRPr="005A76C0">
        <w:t>Key Accountabilities</w:t>
      </w:r>
    </w:p>
    <w:p w14:paraId="42793084" w14:textId="77777777" w:rsidR="0088428C" w:rsidRDefault="00AD4F0A" w:rsidP="00ED1C1E">
      <w:pPr>
        <w:pStyle w:val="ListParagraph"/>
        <w:numPr>
          <w:ilvl w:val="0"/>
          <w:numId w:val="7"/>
        </w:numPr>
        <w:spacing w:before="120" w:after="120" w:line="276" w:lineRule="auto"/>
        <w:rPr>
          <w:sz w:val="22"/>
          <w:szCs w:val="22"/>
        </w:rPr>
      </w:pPr>
      <w:r w:rsidRPr="00AD4F0A">
        <w:rPr>
          <w:sz w:val="22"/>
          <w:szCs w:val="22"/>
        </w:rPr>
        <w:t xml:space="preserve">Own the full post-sale customer lifecycle for both B2B and B2C customers: onboarding, adoption, success, support, renewal, and expansion outcomes; ensure the delivery model is structured to serve both segments without conflating their distinct needs, timelines, and success measures </w:t>
      </w:r>
    </w:p>
    <w:p w14:paraId="475D0C19" w14:textId="1C888387" w:rsidR="0088428C" w:rsidRDefault="0088428C" w:rsidP="00ED1C1E">
      <w:pPr>
        <w:pStyle w:val="ListParagraph"/>
        <w:numPr>
          <w:ilvl w:val="0"/>
          <w:numId w:val="7"/>
        </w:numPr>
        <w:spacing w:before="120" w:after="120" w:line="276" w:lineRule="auto"/>
        <w:rPr>
          <w:sz w:val="22"/>
          <w:szCs w:val="22"/>
        </w:rPr>
      </w:pPr>
      <w:r w:rsidRPr="0088428C">
        <w:rPr>
          <w:sz w:val="22"/>
          <w:szCs w:val="22"/>
        </w:rPr>
        <w:t>Own inside sales and account management within the existing customer base: grow revenue from current B2B accounts through renewal, upsell, and expansion motions, and manage ongoing account relationships in the Safety and Transportation verticals with the depth and consistency those clients require</w:t>
      </w:r>
    </w:p>
    <w:p w14:paraId="5C7CB322" w14:textId="3E2064B6" w:rsidR="0088428C" w:rsidRDefault="0088428C" w:rsidP="00ED1C1E">
      <w:pPr>
        <w:pStyle w:val="ListParagraph"/>
        <w:numPr>
          <w:ilvl w:val="0"/>
          <w:numId w:val="7"/>
        </w:numPr>
        <w:spacing w:before="120" w:after="120" w:line="276" w:lineRule="auto"/>
        <w:rPr>
          <w:sz w:val="22"/>
          <w:szCs w:val="22"/>
        </w:rPr>
      </w:pPr>
      <w:r w:rsidRPr="0088428C">
        <w:rPr>
          <w:sz w:val="22"/>
          <w:szCs w:val="22"/>
        </w:rPr>
        <w:t>Own the training manager relationship layer: ensure training managers within client organizations are supported, enabled, and engaged as the operational point of contact for WKT's delivery commitments, and that their experience directly informs customer health monitoring and renewal strategy</w:t>
      </w:r>
    </w:p>
    <w:p w14:paraId="4EF51E4B" w14:textId="3649A62F"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lastRenderedPageBreak/>
        <w:t xml:space="preserve">Own the Revenue-to-Delivery handoff process ensuring every new customer transitions cleanly from sale to onboarding with clear ownership, timelines, and success criteria </w:t>
      </w:r>
    </w:p>
    <w:p w14:paraId="2C980CE6" w14:textId="037C1424"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Facilitate kickoff calls with new customers and create and manage Joint Impact Plans (JIPs) that align WKT and the customer on success outcomes from day one </w:t>
      </w:r>
    </w:p>
    <w:p w14:paraId="60338B60" w14:textId="530D9FC2"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Drive Time to First Impact: the critical early win in each customer engagement that predicts long-term retention and reduces churn risk </w:t>
      </w:r>
    </w:p>
    <w:p w14:paraId="3476C814" w14:textId="66931D20"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Conduct strategic customer reviews (not just operational check-ins) with key accounts to assess health, surface risk, and identify growth opportunities </w:t>
      </w:r>
    </w:p>
    <w:p w14:paraId="4BE677D0" w14:textId="6CB4B6E9"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Build and maintain proactive customer health monitoring and intervention processes so at-risk accounts are identified and addressed before they escalate </w:t>
      </w:r>
    </w:p>
    <w:p w14:paraId="638F4A84" w14:textId="4EC94BC8"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Own renewal execution as a strategic process starting well before contract expiry, not a transactional event at the deadline </w:t>
      </w:r>
    </w:p>
    <w:p w14:paraId="0B2A8FA2" w14:textId="44EC821D"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Identify expansion opportunities within the existing customer base and hand off qualified opportunities to the Head of Revenue with full context </w:t>
      </w:r>
    </w:p>
    <w:p w14:paraId="7AD4FFFB" w14:textId="5372FD6B"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Measure and report Net Revenue Retention (NRR) and Expansion ARR from existing customers as primary indicators of Delivery function health </w:t>
      </w:r>
    </w:p>
    <w:p w14:paraId="586D40FC" w14:textId="6B4B313C"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Own delivery performance for ILT and online training on-time, on-spec, and in compliance with SLA commitments across all customer segments </w:t>
      </w:r>
    </w:p>
    <w:p w14:paraId="7262E6AD" w14:textId="6986552B"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Own customer support performance and service levels including response time, resolution time, quality, and escalation protocols that protect the customer relationship </w:t>
      </w:r>
    </w:p>
    <w:p w14:paraId="57386099" w14:textId="41146A9F"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Own storefront operational reliability and fulfillment accuracy ensuring course access, provisioning, and order processing run without friction for customers and channel partners </w:t>
      </w:r>
    </w:p>
    <w:p w14:paraId="28DEC133" w14:textId="7F2F2F9E"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Drive efficiency, documentation, and process discipline across all operational workflows building systems that are repeatable, auditable, and scalable </w:t>
      </w:r>
    </w:p>
    <w:p w14:paraId="04A67F6C" w14:textId="21DA9A51" w:rsidR="00ED1C1E" w:rsidRPr="00ED1C1E" w:rsidRDefault="00ED1C1E" w:rsidP="00ED1C1E">
      <w:pPr>
        <w:pStyle w:val="ListParagraph"/>
        <w:numPr>
          <w:ilvl w:val="0"/>
          <w:numId w:val="7"/>
        </w:numPr>
        <w:spacing w:before="120" w:after="120" w:line="276" w:lineRule="auto"/>
        <w:rPr>
          <w:sz w:val="22"/>
          <w:szCs w:val="22"/>
        </w:rPr>
      </w:pPr>
      <w:r w:rsidRPr="00ED1C1E">
        <w:rPr>
          <w:sz w:val="22"/>
          <w:szCs w:val="22"/>
        </w:rPr>
        <w:t xml:space="preserve">Own operational readiness for product launches and partner onboarding including coordinating with Learning Development and Platform &amp; Technology to ensure every launch is fulfillable before it goes to market </w:t>
      </w:r>
    </w:p>
    <w:p w14:paraId="26C0A478" w14:textId="29BF98F2" w:rsidR="002A7A6A" w:rsidRDefault="00ED1C1E" w:rsidP="00ED1C1E">
      <w:pPr>
        <w:pStyle w:val="ListParagraph"/>
        <w:numPr>
          <w:ilvl w:val="0"/>
          <w:numId w:val="7"/>
        </w:numPr>
        <w:spacing w:before="120" w:after="120" w:line="276" w:lineRule="auto"/>
        <w:rPr>
          <w:sz w:val="22"/>
          <w:szCs w:val="22"/>
        </w:rPr>
      </w:pPr>
      <w:r w:rsidRPr="00ED1C1E">
        <w:rPr>
          <w:sz w:val="22"/>
          <w:szCs w:val="22"/>
        </w:rPr>
        <w:t>Manage cost-to-serve discipline and productivity measures across the delivery function</w:t>
      </w:r>
    </w:p>
    <w:p w14:paraId="3629FF21" w14:textId="77777777" w:rsidR="00ED1C1E" w:rsidRPr="00ED1C1E" w:rsidRDefault="00ED1C1E" w:rsidP="00ED1C1E">
      <w:pPr>
        <w:pStyle w:val="ListParagraph"/>
        <w:spacing w:before="120" w:after="120" w:line="276" w:lineRule="auto"/>
        <w:ind w:left="360"/>
        <w:rPr>
          <w:sz w:val="22"/>
          <w:szCs w:val="22"/>
        </w:rPr>
      </w:pPr>
    </w:p>
    <w:p w14:paraId="09284CDE" w14:textId="0755092F" w:rsidR="005A76C0" w:rsidRPr="005A76C0" w:rsidRDefault="005A76C0" w:rsidP="00846169">
      <w:pPr>
        <w:pStyle w:val="Heading2"/>
      </w:pPr>
      <w:r w:rsidRPr="005A76C0">
        <w:t xml:space="preserve">Core Values </w:t>
      </w:r>
      <w:r w:rsidR="00846169">
        <w:t>-</w:t>
      </w:r>
      <w:r w:rsidRPr="005A76C0">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33"/>
        <w:gridCol w:w="7627"/>
      </w:tblGrid>
      <w:tr w:rsidR="005A76C0" w:rsidRPr="005A76C0" w14:paraId="7330F0B6" w14:textId="77777777" w:rsidTr="00846169">
        <w:trPr>
          <w:tblHeader/>
          <w:tblCellSpacing w:w="15" w:type="dxa"/>
        </w:trPr>
        <w:tc>
          <w:tcPr>
            <w:tcW w:w="0" w:type="auto"/>
            <w:vAlign w:val="center"/>
            <w:hideMark/>
          </w:tcPr>
          <w:p w14:paraId="6A198CC7" w14:textId="77777777" w:rsidR="005A76C0" w:rsidRPr="005A76C0" w:rsidRDefault="005A76C0" w:rsidP="005A76C0">
            <w:pPr>
              <w:spacing w:before="120" w:after="120" w:line="276" w:lineRule="auto"/>
              <w:rPr>
                <w:b/>
                <w:bCs/>
                <w:sz w:val="22"/>
                <w:szCs w:val="22"/>
              </w:rPr>
            </w:pPr>
            <w:r w:rsidRPr="005A76C0">
              <w:rPr>
                <w:b/>
                <w:bCs/>
                <w:sz w:val="22"/>
                <w:szCs w:val="22"/>
              </w:rPr>
              <w:t>Core Value</w:t>
            </w:r>
          </w:p>
        </w:tc>
        <w:tc>
          <w:tcPr>
            <w:tcW w:w="0" w:type="auto"/>
            <w:vAlign w:val="center"/>
            <w:hideMark/>
          </w:tcPr>
          <w:p w14:paraId="713AADF8" w14:textId="77777777" w:rsidR="005A76C0" w:rsidRPr="005A76C0" w:rsidRDefault="005A76C0" w:rsidP="005A76C0">
            <w:pPr>
              <w:spacing w:before="120" w:after="120" w:line="276" w:lineRule="auto"/>
              <w:rPr>
                <w:b/>
                <w:bCs/>
                <w:sz w:val="22"/>
                <w:szCs w:val="22"/>
              </w:rPr>
            </w:pPr>
            <w:r w:rsidRPr="005A76C0">
              <w:rPr>
                <w:b/>
                <w:bCs/>
                <w:sz w:val="22"/>
                <w:szCs w:val="22"/>
              </w:rPr>
              <w:t>What This Looks Like in This Seat</w:t>
            </w:r>
          </w:p>
        </w:tc>
      </w:tr>
      <w:tr w:rsidR="005A76C0" w:rsidRPr="005A76C0" w14:paraId="64B5438F" w14:textId="77777777" w:rsidTr="00846169">
        <w:trPr>
          <w:tblCellSpacing w:w="15" w:type="dxa"/>
        </w:trPr>
        <w:tc>
          <w:tcPr>
            <w:tcW w:w="0" w:type="auto"/>
            <w:vAlign w:val="center"/>
            <w:hideMark/>
          </w:tcPr>
          <w:p w14:paraId="378F6C6E" w14:textId="77777777" w:rsidR="005A76C0" w:rsidRPr="005A76C0" w:rsidRDefault="005A76C0" w:rsidP="005A76C0">
            <w:pPr>
              <w:spacing w:before="120" w:after="120" w:line="276" w:lineRule="auto"/>
              <w:rPr>
                <w:sz w:val="22"/>
                <w:szCs w:val="22"/>
              </w:rPr>
            </w:pPr>
            <w:r w:rsidRPr="005A76C0">
              <w:rPr>
                <w:b/>
                <w:bCs/>
                <w:sz w:val="22"/>
                <w:szCs w:val="22"/>
              </w:rPr>
              <w:t>We are Accountable</w:t>
            </w:r>
          </w:p>
        </w:tc>
        <w:tc>
          <w:tcPr>
            <w:tcW w:w="0" w:type="auto"/>
            <w:vAlign w:val="center"/>
            <w:hideMark/>
          </w:tcPr>
          <w:p w14:paraId="143F8A9C" w14:textId="3F12E128" w:rsidR="005A76C0" w:rsidRPr="005A76C0" w:rsidRDefault="00EF4CA7" w:rsidP="005A76C0">
            <w:pPr>
              <w:spacing w:before="120" w:after="120" w:line="276" w:lineRule="auto"/>
              <w:rPr>
                <w:sz w:val="22"/>
                <w:szCs w:val="22"/>
              </w:rPr>
            </w:pPr>
            <w:r w:rsidRPr="00EF4CA7">
              <w:rPr>
                <w:sz w:val="22"/>
                <w:szCs w:val="22"/>
              </w:rPr>
              <w:t>Owns delivery outcomes and SLA performance, not team effort or process adherence. When customer support resolution times slip, fulfillment errors spike, or a launch misses operational readiness, names it clearly, traces it to the root cause, and brings the fix. Holds the delivery team to the same standard: SLAs, renewal timelines, and health monitoring cadences are commitments, not targets.</w:t>
            </w:r>
          </w:p>
        </w:tc>
      </w:tr>
      <w:tr w:rsidR="005A76C0" w:rsidRPr="005A76C0" w14:paraId="17B30EA4" w14:textId="77777777" w:rsidTr="00846169">
        <w:trPr>
          <w:tblCellSpacing w:w="15" w:type="dxa"/>
        </w:trPr>
        <w:tc>
          <w:tcPr>
            <w:tcW w:w="0" w:type="auto"/>
            <w:vAlign w:val="center"/>
            <w:hideMark/>
          </w:tcPr>
          <w:p w14:paraId="18EDAA54" w14:textId="77777777" w:rsidR="005A76C0" w:rsidRPr="005A76C0" w:rsidRDefault="005A76C0" w:rsidP="005A76C0">
            <w:pPr>
              <w:spacing w:before="120" w:after="120" w:line="276" w:lineRule="auto"/>
              <w:rPr>
                <w:sz w:val="22"/>
                <w:szCs w:val="22"/>
              </w:rPr>
            </w:pPr>
            <w:r w:rsidRPr="005A76C0">
              <w:rPr>
                <w:b/>
                <w:bCs/>
                <w:sz w:val="22"/>
                <w:szCs w:val="22"/>
              </w:rPr>
              <w:t>We are Curious</w:t>
            </w:r>
          </w:p>
        </w:tc>
        <w:tc>
          <w:tcPr>
            <w:tcW w:w="0" w:type="auto"/>
            <w:vAlign w:val="center"/>
            <w:hideMark/>
          </w:tcPr>
          <w:p w14:paraId="70AC2923" w14:textId="59F8FF06" w:rsidR="005A76C0" w:rsidRPr="005A76C0" w:rsidRDefault="00EF4CA7" w:rsidP="005A76C0">
            <w:pPr>
              <w:spacing w:before="120" w:after="120" w:line="276" w:lineRule="auto"/>
              <w:rPr>
                <w:sz w:val="22"/>
                <w:szCs w:val="22"/>
              </w:rPr>
            </w:pPr>
            <w:r w:rsidRPr="00EF4CA7">
              <w:rPr>
                <w:sz w:val="22"/>
                <w:szCs w:val="22"/>
              </w:rPr>
              <w:t>Asks the right questions about why errors recur, where the fulfillment process breaks down, and what is creating escalation patterns before assuming it is a training issue or a capacity problem. Stays curious about what customer health data is signalling before it becomes a churn event, and about operational efficiency tools that can reduce cost-to-serve without degrading service quality.</w:t>
            </w:r>
          </w:p>
        </w:tc>
      </w:tr>
      <w:tr w:rsidR="005A76C0" w:rsidRPr="005A76C0" w14:paraId="250AF77F" w14:textId="77777777" w:rsidTr="00846169">
        <w:trPr>
          <w:tblCellSpacing w:w="15" w:type="dxa"/>
        </w:trPr>
        <w:tc>
          <w:tcPr>
            <w:tcW w:w="0" w:type="auto"/>
            <w:vAlign w:val="center"/>
            <w:hideMark/>
          </w:tcPr>
          <w:p w14:paraId="4B4564D9" w14:textId="77777777" w:rsidR="005A76C0" w:rsidRPr="005A76C0" w:rsidRDefault="005A76C0" w:rsidP="005A76C0">
            <w:pPr>
              <w:spacing w:before="120" w:after="120" w:line="276" w:lineRule="auto"/>
              <w:rPr>
                <w:sz w:val="22"/>
                <w:szCs w:val="22"/>
              </w:rPr>
            </w:pPr>
            <w:r w:rsidRPr="005A76C0">
              <w:rPr>
                <w:b/>
                <w:bCs/>
                <w:sz w:val="22"/>
                <w:szCs w:val="22"/>
              </w:rPr>
              <w:lastRenderedPageBreak/>
              <w:t>We are Driven</w:t>
            </w:r>
          </w:p>
        </w:tc>
        <w:tc>
          <w:tcPr>
            <w:tcW w:w="0" w:type="auto"/>
            <w:vAlign w:val="center"/>
            <w:hideMark/>
          </w:tcPr>
          <w:p w14:paraId="403AA64F" w14:textId="238478F5" w:rsidR="005A76C0" w:rsidRPr="005A76C0" w:rsidRDefault="00F46AFF" w:rsidP="005A76C0">
            <w:pPr>
              <w:spacing w:before="120" w:after="120" w:line="276" w:lineRule="auto"/>
              <w:rPr>
                <w:sz w:val="22"/>
                <w:szCs w:val="22"/>
              </w:rPr>
            </w:pPr>
            <w:r w:rsidRPr="00F46AFF">
              <w:rPr>
                <w:sz w:val="22"/>
                <w:szCs w:val="22"/>
              </w:rPr>
              <w:t>Maintains SLA discipline, process documentation, customer health monitoring, and quality standards through high-volume periods, product launches, and partner onboarding surges without letting urgency become an excuse for cutting corners. Does the process engineering, the Joint Impact Plan reviews, and the documentation work that makes the team more consistent and less dependent on heroics.</w:t>
            </w:r>
          </w:p>
        </w:tc>
      </w:tr>
      <w:tr w:rsidR="005A76C0" w:rsidRPr="005A76C0" w14:paraId="33F8913D" w14:textId="77777777" w:rsidTr="00846169">
        <w:trPr>
          <w:tblCellSpacing w:w="15" w:type="dxa"/>
        </w:trPr>
        <w:tc>
          <w:tcPr>
            <w:tcW w:w="0" w:type="auto"/>
            <w:vAlign w:val="center"/>
            <w:hideMark/>
          </w:tcPr>
          <w:p w14:paraId="30C591F6" w14:textId="77777777" w:rsidR="005A76C0" w:rsidRPr="005A76C0" w:rsidRDefault="005A76C0" w:rsidP="005A76C0">
            <w:pPr>
              <w:spacing w:before="120" w:after="120" w:line="276" w:lineRule="auto"/>
              <w:rPr>
                <w:sz w:val="22"/>
                <w:szCs w:val="22"/>
              </w:rPr>
            </w:pPr>
            <w:r w:rsidRPr="005A76C0">
              <w:rPr>
                <w:b/>
                <w:bCs/>
                <w:sz w:val="22"/>
                <w:szCs w:val="22"/>
              </w:rPr>
              <w:t>We are Nimble</w:t>
            </w:r>
          </w:p>
        </w:tc>
        <w:tc>
          <w:tcPr>
            <w:tcW w:w="0" w:type="auto"/>
            <w:vAlign w:val="center"/>
            <w:hideMark/>
          </w:tcPr>
          <w:p w14:paraId="267D6781" w14:textId="7BE20DEA" w:rsidR="005A76C0" w:rsidRPr="005A76C0" w:rsidRDefault="005A76C0" w:rsidP="005A76C0">
            <w:pPr>
              <w:spacing w:before="120" w:after="120" w:line="276" w:lineRule="auto"/>
              <w:rPr>
                <w:sz w:val="22"/>
                <w:szCs w:val="22"/>
              </w:rPr>
            </w:pPr>
            <w:r w:rsidRPr="005A76C0">
              <w:rPr>
                <w:sz w:val="22"/>
                <w:szCs w:val="22"/>
              </w:rPr>
              <w:t>Adjusts operational capacity and workflow priorities quickly when launch timelines shift, partner onboarding volumes spike, or a customer escalation requires immediate focus without destabilizing the broader operations function. Builds operational systems flexible enough to absorb variability without requiring manual intervention every time.</w:t>
            </w:r>
          </w:p>
        </w:tc>
      </w:tr>
      <w:tr w:rsidR="005A76C0" w:rsidRPr="005A76C0" w14:paraId="3CC97534" w14:textId="77777777" w:rsidTr="00846169">
        <w:trPr>
          <w:tblCellSpacing w:w="15" w:type="dxa"/>
        </w:trPr>
        <w:tc>
          <w:tcPr>
            <w:tcW w:w="0" w:type="auto"/>
            <w:vAlign w:val="center"/>
            <w:hideMark/>
          </w:tcPr>
          <w:p w14:paraId="61E88EAD" w14:textId="77777777" w:rsidR="005A76C0" w:rsidRPr="005A76C0" w:rsidRDefault="005A76C0" w:rsidP="005A76C0">
            <w:pPr>
              <w:spacing w:before="120" w:after="120" w:line="276" w:lineRule="auto"/>
              <w:rPr>
                <w:sz w:val="22"/>
                <w:szCs w:val="22"/>
              </w:rPr>
            </w:pPr>
            <w:r w:rsidRPr="005A76C0">
              <w:rPr>
                <w:b/>
                <w:bCs/>
                <w:sz w:val="22"/>
                <w:szCs w:val="22"/>
              </w:rPr>
              <w:t>We are Relationship-focused</w:t>
            </w:r>
          </w:p>
        </w:tc>
        <w:tc>
          <w:tcPr>
            <w:tcW w:w="0" w:type="auto"/>
            <w:vAlign w:val="center"/>
            <w:hideMark/>
          </w:tcPr>
          <w:p w14:paraId="31B6618F" w14:textId="661B30E3" w:rsidR="005A76C0" w:rsidRPr="005A76C0" w:rsidRDefault="00F46AFF" w:rsidP="005A76C0">
            <w:pPr>
              <w:spacing w:before="120" w:after="120" w:line="276" w:lineRule="auto"/>
              <w:rPr>
                <w:sz w:val="22"/>
                <w:szCs w:val="22"/>
              </w:rPr>
            </w:pPr>
            <w:r w:rsidRPr="00F46AFF">
              <w:rPr>
                <w:sz w:val="22"/>
                <w:szCs w:val="22"/>
              </w:rPr>
              <w:t>Builds the internal working relationships with Learning Development and Platform &amp; Technology that make launch readiness a collaborative process rather than a reactive scramble. Brings genuine care for the customer experience into every operational and strategic decision, understanding that what happens after the sale determines whether WKT earns the next one. Develops the delivery team with attention to capability, retention, and wellbeing.</w:t>
            </w:r>
          </w:p>
        </w:tc>
      </w:tr>
    </w:tbl>
    <w:p w14:paraId="17A225F5" w14:textId="3BAD931E" w:rsidR="005A76C0" w:rsidRPr="005A76C0" w:rsidRDefault="005A76C0" w:rsidP="005A76C0">
      <w:pPr>
        <w:spacing w:before="120" w:after="120" w:line="276" w:lineRule="auto"/>
        <w:rPr>
          <w:sz w:val="22"/>
          <w:szCs w:val="22"/>
        </w:rPr>
      </w:pPr>
    </w:p>
    <w:p w14:paraId="4296E838" w14:textId="6F629D51" w:rsidR="005A76C0" w:rsidRPr="005A76C0" w:rsidRDefault="005A76C0" w:rsidP="00936E1A">
      <w:pPr>
        <w:pStyle w:val="Heading2"/>
      </w:pPr>
      <w:r w:rsidRPr="005A76C0">
        <w:t xml:space="preserve">GWC </w:t>
      </w:r>
      <w:r w:rsidR="00936E1A">
        <w:t>-</w:t>
      </w:r>
      <w:r w:rsidRPr="005A76C0">
        <w:t xml:space="preserve"> Seat-Specific Descriptors</w:t>
      </w:r>
    </w:p>
    <w:p w14:paraId="0E757A67" w14:textId="77777777" w:rsidR="00936E1A" w:rsidRDefault="005A76C0" w:rsidP="00936E1A">
      <w:pPr>
        <w:pStyle w:val="Heading3"/>
      </w:pPr>
      <w:r w:rsidRPr="005A76C0">
        <w:t xml:space="preserve">Gets It </w:t>
      </w:r>
    </w:p>
    <w:p w14:paraId="3257795F" w14:textId="17B25C14" w:rsidR="005A76C0" w:rsidRPr="005A76C0" w:rsidRDefault="005A76C0" w:rsidP="005A76C0">
      <w:pPr>
        <w:spacing w:before="120" w:after="120" w:line="276" w:lineRule="auto"/>
        <w:rPr>
          <w:sz w:val="22"/>
          <w:szCs w:val="22"/>
        </w:rPr>
      </w:pPr>
      <w:r w:rsidRPr="005A76C0">
        <w:rPr>
          <w:sz w:val="22"/>
          <w:szCs w:val="22"/>
        </w:rPr>
        <w:t>The</w:t>
      </w:r>
      <w:r w:rsidR="00B217A7" w:rsidRPr="00B217A7">
        <w:rPr>
          <w:sz w:val="22"/>
          <w:szCs w:val="22"/>
        </w:rPr>
        <w:t xml:space="preserve"> Head of Delivery understands that this seat has two equally important mandates: making WKT trustworthy at the point of delivery, and turning every customer relationship into a retained and growing one. They get the asymmetric risk profile of the Operate context: a perfectly run fulfillment operation is invisible, while a single access provisioning failure or SLA breach can dominate the customer conversation indefinitely. They also understand that customer success is a revenue function: NRR and expansion ARR are not vanity metrics, they are indicators of whether this seat is doing its job. They understand that the Revenue-to-Delivery handoff is not an administrative transition; it is the moment that determines whether the customer's first experience matches the promise that was sold. They also understand that their role in launch readiness is not to say yes to every request from Learning Development or Revenue, but to define what "ready" means operationally and hold that standard consistently even when commercial pressure pushes for early go-lives. </w:t>
      </w:r>
      <w:r w:rsidR="00B217A7" w:rsidRPr="00B217A7">
        <w:rPr>
          <w:i/>
          <w:iCs/>
          <w:sz w:val="22"/>
          <w:szCs w:val="22"/>
        </w:rPr>
        <w:t>(For full GWC behavioural indicators and warning signs, see the GWC Descriptors document.)</w:t>
      </w:r>
    </w:p>
    <w:p w14:paraId="3DED506B" w14:textId="77777777" w:rsidR="00936E1A" w:rsidRDefault="005A76C0" w:rsidP="00936E1A">
      <w:pPr>
        <w:pStyle w:val="Heading3"/>
      </w:pPr>
      <w:r w:rsidRPr="005A76C0">
        <w:t xml:space="preserve">Wants It </w:t>
      </w:r>
    </w:p>
    <w:p w14:paraId="60D800DC" w14:textId="12AD7BC3" w:rsidR="005A76C0" w:rsidRPr="005A76C0" w:rsidRDefault="005A76C0" w:rsidP="005A76C0">
      <w:pPr>
        <w:spacing w:before="120" w:after="120" w:line="276" w:lineRule="auto"/>
        <w:rPr>
          <w:sz w:val="22"/>
          <w:szCs w:val="22"/>
        </w:rPr>
      </w:pPr>
      <w:r w:rsidRPr="005A76C0">
        <w:rPr>
          <w:sz w:val="22"/>
          <w:szCs w:val="22"/>
        </w:rPr>
        <w:t xml:space="preserve">This </w:t>
      </w:r>
      <w:r w:rsidR="002858C0" w:rsidRPr="002858C0">
        <w:rPr>
          <w:sz w:val="22"/>
          <w:szCs w:val="22"/>
        </w:rPr>
        <w:t xml:space="preserve">seat requires genuine appetite for both the detailed, process-intensive, often invisible work of running a high-volume operational function reliably, and for the strategic, relationship-intensive work of driving customer adoption, renewal, and expansion. The person who truly wants this role is </w:t>
      </w:r>
      <w:r w:rsidR="002858C0" w:rsidRPr="002858C0">
        <w:rPr>
          <w:sz w:val="22"/>
          <w:szCs w:val="22"/>
        </w:rPr>
        <w:lastRenderedPageBreak/>
        <w:t>energized by the systems work and by the customer outcomes those systems produce. They must want to manage the Joint Impact Plan conversation with a new customer, the health check conversation with an at-risk account, and the escalation conversation with a partner who is not getting value, with the same discipline they bring to SLA metrics and fulfillment accuracy. The less visible parts of this seat (health monitoring, renewal pipeline hygiene, process documentation) must be things this person actively owns, not delegates and ignores.</w:t>
      </w:r>
    </w:p>
    <w:p w14:paraId="6973817D" w14:textId="77777777" w:rsidR="008122FE" w:rsidRDefault="005A76C0" w:rsidP="008122FE">
      <w:pPr>
        <w:pStyle w:val="Heading3"/>
      </w:pPr>
      <w:r w:rsidRPr="005A76C0">
        <w:t xml:space="preserve">Capacity to Do It </w:t>
      </w:r>
    </w:p>
    <w:p w14:paraId="6B0AD9EC" w14:textId="77777777" w:rsidR="00B217A7" w:rsidRPr="00B217A7" w:rsidRDefault="00B217A7" w:rsidP="00B217A7">
      <w:pPr>
        <w:spacing w:before="120" w:after="120" w:line="276" w:lineRule="auto"/>
        <w:rPr>
          <w:sz w:val="22"/>
          <w:szCs w:val="22"/>
        </w:rPr>
      </w:pPr>
      <w:r w:rsidRPr="00B217A7">
        <w:rPr>
          <w:sz w:val="22"/>
          <w:szCs w:val="22"/>
        </w:rPr>
        <w:t>The seat requires both the operational detail orientation to manage SLAs, error rates, and process workflows and the leadership range to manage a frontline-adjacent team, coordinate effectively with Learning Development and Platform &amp; Technology, and represent the full customer lifecycle clearly at the leadership table. WKT's growth trajectory including increasing credentials issued, expanding channel partners, scaling ALF delivery, and growing the institutional customer base will create compounding operational and customer success volume pressure. Capacity here includes the ability to build systems that scale ahead of that demand in both operational delivery and customer lifecycle management, not just manage the current state.</w:t>
      </w:r>
    </w:p>
    <w:p w14:paraId="4B7AFFD8" w14:textId="310B4192" w:rsidR="005A76C0" w:rsidRPr="005A76C0" w:rsidRDefault="005A76C0" w:rsidP="005A76C0">
      <w:pPr>
        <w:spacing w:before="120" w:after="120" w:line="276" w:lineRule="auto"/>
        <w:rPr>
          <w:sz w:val="22"/>
          <w:szCs w:val="22"/>
        </w:rPr>
      </w:pPr>
    </w:p>
    <w:p w14:paraId="48B5E7F8" w14:textId="77777777" w:rsidR="005A76C0" w:rsidRPr="005A76C0" w:rsidRDefault="005A76C0" w:rsidP="008122FE">
      <w:pPr>
        <w:pStyle w:val="Heading2"/>
      </w:pPr>
      <w:r w:rsidRPr="005A76C0">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6650"/>
        <w:gridCol w:w="986"/>
        <w:gridCol w:w="947"/>
        <w:gridCol w:w="777"/>
      </w:tblGrid>
      <w:tr w:rsidR="005A76C0" w:rsidRPr="005A76C0" w14:paraId="24FA2C55" w14:textId="77777777" w:rsidTr="00CD480D">
        <w:trPr>
          <w:tblHeader/>
          <w:tblCellSpacing w:w="15" w:type="dxa"/>
        </w:trPr>
        <w:tc>
          <w:tcPr>
            <w:tcW w:w="6759" w:type="dxa"/>
            <w:vAlign w:val="center"/>
            <w:hideMark/>
          </w:tcPr>
          <w:p w14:paraId="05910185" w14:textId="77777777" w:rsidR="005A76C0" w:rsidRPr="005A76C0" w:rsidRDefault="005A76C0" w:rsidP="005A76C0">
            <w:pPr>
              <w:spacing w:before="120" w:after="120" w:line="276" w:lineRule="auto"/>
              <w:rPr>
                <w:b/>
                <w:bCs/>
                <w:sz w:val="22"/>
                <w:szCs w:val="22"/>
              </w:rPr>
            </w:pPr>
            <w:r w:rsidRPr="005A76C0">
              <w:rPr>
                <w:b/>
                <w:bCs/>
                <w:sz w:val="22"/>
                <w:szCs w:val="22"/>
              </w:rPr>
              <w:t>Measurable</w:t>
            </w:r>
          </w:p>
        </w:tc>
        <w:tc>
          <w:tcPr>
            <w:tcW w:w="963" w:type="dxa"/>
            <w:vAlign w:val="center"/>
            <w:hideMark/>
          </w:tcPr>
          <w:p w14:paraId="26F3F86D" w14:textId="77777777" w:rsidR="005A76C0" w:rsidRPr="005A76C0" w:rsidRDefault="005A76C0" w:rsidP="005A76C0">
            <w:pPr>
              <w:spacing w:before="120" w:after="120" w:line="276" w:lineRule="auto"/>
              <w:rPr>
                <w:b/>
                <w:bCs/>
                <w:sz w:val="22"/>
                <w:szCs w:val="22"/>
              </w:rPr>
            </w:pPr>
            <w:r w:rsidRPr="005A76C0">
              <w:rPr>
                <w:b/>
                <w:bCs/>
                <w:sz w:val="22"/>
                <w:szCs w:val="22"/>
              </w:rPr>
              <w:t>Green</w:t>
            </w:r>
          </w:p>
        </w:tc>
        <w:tc>
          <w:tcPr>
            <w:tcW w:w="923" w:type="dxa"/>
            <w:vAlign w:val="center"/>
            <w:hideMark/>
          </w:tcPr>
          <w:p w14:paraId="788E2E68" w14:textId="77777777" w:rsidR="005A76C0" w:rsidRPr="005A76C0" w:rsidRDefault="005A76C0" w:rsidP="005A76C0">
            <w:pPr>
              <w:spacing w:before="120" w:after="120" w:line="276" w:lineRule="auto"/>
              <w:rPr>
                <w:b/>
                <w:bCs/>
                <w:sz w:val="22"/>
                <w:szCs w:val="22"/>
              </w:rPr>
            </w:pPr>
            <w:r w:rsidRPr="005A76C0">
              <w:rPr>
                <w:b/>
                <w:bCs/>
                <w:sz w:val="22"/>
                <w:szCs w:val="22"/>
              </w:rPr>
              <w:t>Yellow</w:t>
            </w:r>
          </w:p>
        </w:tc>
        <w:tc>
          <w:tcPr>
            <w:tcW w:w="0" w:type="auto"/>
            <w:vAlign w:val="center"/>
            <w:hideMark/>
          </w:tcPr>
          <w:p w14:paraId="0197508F" w14:textId="77777777" w:rsidR="005A76C0" w:rsidRPr="005A76C0" w:rsidRDefault="005A76C0" w:rsidP="005A76C0">
            <w:pPr>
              <w:spacing w:before="120" w:after="120" w:line="276" w:lineRule="auto"/>
              <w:rPr>
                <w:b/>
                <w:bCs/>
                <w:sz w:val="22"/>
                <w:szCs w:val="22"/>
              </w:rPr>
            </w:pPr>
            <w:r w:rsidRPr="005A76C0">
              <w:rPr>
                <w:b/>
                <w:bCs/>
                <w:sz w:val="22"/>
                <w:szCs w:val="22"/>
              </w:rPr>
              <w:t>Red</w:t>
            </w:r>
          </w:p>
        </w:tc>
      </w:tr>
      <w:tr w:rsidR="005A76C0" w:rsidRPr="005A76C0" w14:paraId="1974A478" w14:textId="77777777" w:rsidTr="00CD480D">
        <w:trPr>
          <w:tblCellSpacing w:w="15" w:type="dxa"/>
        </w:trPr>
        <w:tc>
          <w:tcPr>
            <w:tcW w:w="6759" w:type="dxa"/>
            <w:vAlign w:val="center"/>
            <w:hideMark/>
          </w:tcPr>
          <w:p w14:paraId="2C837D11" w14:textId="77777777" w:rsidR="005A76C0" w:rsidRPr="005A76C0" w:rsidRDefault="005A76C0" w:rsidP="005A76C0">
            <w:pPr>
              <w:spacing w:before="120" w:after="120" w:line="276" w:lineRule="auto"/>
              <w:rPr>
                <w:sz w:val="22"/>
                <w:szCs w:val="22"/>
              </w:rPr>
            </w:pPr>
            <w:r w:rsidRPr="005A76C0">
              <w:rPr>
                <w:sz w:val="22"/>
                <w:szCs w:val="22"/>
              </w:rPr>
              <w:t>Customer support response time (% of tickets receiving first response within committed SLA window)</w:t>
            </w:r>
          </w:p>
        </w:tc>
        <w:tc>
          <w:tcPr>
            <w:tcW w:w="963" w:type="dxa"/>
            <w:vAlign w:val="center"/>
            <w:hideMark/>
          </w:tcPr>
          <w:p w14:paraId="4B61BF64" w14:textId="77777777" w:rsidR="005A76C0" w:rsidRPr="005A76C0" w:rsidRDefault="005A76C0" w:rsidP="005A76C0">
            <w:pPr>
              <w:spacing w:before="120" w:after="120" w:line="276" w:lineRule="auto"/>
              <w:rPr>
                <w:sz w:val="22"/>
                <w:szCs w:val="22"/>
              </w:rPr>
            </w:pPr>
            <w:r w:rsidRPr="005A76C0">
              <w:rPr>
                <w:sz w:val="22"/>
                <w:szCs w:val="22"/>
              </w:rPr>
              <w:t>≥95%</w:t>
            </w:r>
          </w:p>
        </w:tc>
        <w:tc>
          <w:tcPr>
            <w:tcW w:w="923" w:type="dxa"/>
            <w:vAlign w:val="center"/>
            <w:hideMark/>
          </w:tcPr>
          <w:p w14:paraId="7FF84916" w14:textId="77777777" w:rsidR="005A76C0" w:rsidRPr="005A76C0" w:rsidRDefault="005A76C0" w:rsidP="005A76C0">
            <w:pPr>
              <w:spacing w:before="120" w:after="120" w:line="276" w:lineRule="auto"/>
              <w:rPr>
                <w:sz w:val="22"/>
                <w:szCs w:val="22"/>
              </w:rPr>
            </w:pPr>
            <w:r w:rsidRPr="005A76C0">
              <w:rPr>
                <w:sz w:val="22"/>
                <w:szCs w:val="22"/>
              </w:rPr>
              <w:t>85–94%</w:t>
            </w:r>
          </w:p>
        </w:tc>
        <w:tc>
          <w:tcPr>
            <w:tcW w:w="0" w:type="auto"/>
            <w:vAlign w:val="center"/>
            <w:hideMark/>
          </w:tcPr>
          <w:p w14:paraId="7318CCC5" w14:textId="77777777" w:rsidR="005A76C0" w:rsidRPr="005A76C0" w:rsidRDefault="005A76C0" w:rsidP="005A76C0">
            <w:pPr>
              <w:spacing w:before="120" w:after="120" w:line="276" w:lineRule="auto"/>
              <w:rPr>
                <w:sz w:val="22"/>
                <w:szCs w:val="22"/>
              </w:rPr>
            </w:pPr>
            <w:r w:rsidRPr="005A76C0">
              <w:rPr>
                <w:sz w:val="22"/>
                <w:szCs w:val="22"/>
              </w:rPr>
              <w:t>&lt;85%</w:t>
            </w:r>
          </w:p>
        </w:tc>
      </w:tr>
      <w:tr w:rsidR="005A76C0" w:rsidRPr="005A76C0" w14:paraId="430D8441" w14:textId="77777777" w:rsidTr="00CD480D">
        <w:trPr>
          <w:tblCellSpacing w:w="15" w:type="dxa"/>
        </w:trPr>
        <w:tc>
          <w:tcPr>
            <w:tcW w:w="6759" w:type="dxa"/>
            <w:vAlign w:val="center"/>
            <w:hideMark/>
          </w:tcPr>
          <w:p w14:paraId="2AD64FA9" w14:textId="77777777" w:rsidR="005A76C0" w:rsidRPr="005A76C0" w:rsidRDefault="005A76C0" w:rsidP="005A76C0">
            <w:pPr>
              <w:spacing w:before="120" w:after="120" w:line="276" w:lineRule="auto"/>
              <w:rPr>
                <w:sz w:val="22"/>
                <w:szCs w:val="22"/>
              </w:rPr>
            </w:pPr>
            <w:r w:rsidRPr="005A76C0">
              <w:rPr>
                <w:sz w:val="22"/>
                <w:szCs w:val="22"/>
              </w:rPr>
              <w:t>Order/fulfillment accuracy rate (% of course access and provisioning requests completed without error)</w:t>
            </w:r>
          </w:p>
        </w:tc>
        <w:tc>
          <w:tcPr>
            <w:tcW w:w="963" w:type="dxa"/>
            <w:vAlign w:val="center"/>
            <w:hideMark/>
          </w:tcPr>
          <w:p w14:paraId="7ABAC57B" w14:textId="77777777" w:rsidR="005A76C0" w:rsidRPr="005A76C0" w:rsidRDefault="005A76C0" w:rsidP="005A76C0">
            <w:pPr>
              <w:spacing w:before="120" w:after="120" w:line="276" w:lineRule="auto"/>
              <w:rPr>
                <w:sz w:val="22"/>
                <w:szCs w:val="22"/>
              </w:rPr>
            </w:pPr>
            <w:r w:rsidRPr="005A76C0">
              <w:rPr>
                <w:sz w:val="22"/>
                <w:szCs w:val="22"/>
              </w:rPr>
              <w:t>≥98%</w:t>
            </w:r>
          </w:p>
        </w:tc>
        <w:tc>
          <w:tcPr>
            <w:tcW w:w="923" w:type="dxa"/>
            <w:vAlign w:val="center"/>
            <w:hideMark/>
          </w:tcPr>
          <w:p w14:paraId="6A36FDA3" w14:textId="77777777" w:rsidR="005A76C0" w:rsidRPr="005A76C0" w:rsidRDefault="005A76C0" w:rsidP="005A76C0">
            <w:pPr>
              <w:spacing w:before="120" w:after="120" w:line="276" w:lineRule="auto"/>
              <w:rPr>
                <w:sz w:val="22"/>
                <w:szCs w:val="22"/>
              </w:rPr>
            </w:pPr>
            <w:r w:rsidRPr="005A76C0">
              <w:rPr>
                <w:sz w:val="22"/>
                <w:szCs w:val="22"/>
              </w:rPr>
              <w:t>95–97%</w:t>
            </w:r>
          </w:p>
        </w:tc>
        <w:tc>
          <w:tcPr>
            <w:tcW w:w="0" w:type="auto"/>
            <w:vAlign w:val="center"/>
            <w:hideMark/>
          </w:tcPr>
          <w:p w14:paraId="5AAD3D17" w14:textId="77777777" w:rsidR="005A76C0" w:rsidRPr="005A76C0" w:rsidRDefault="005A76C0" w:rsidP="005A76C0">
            <w:pPr>
              <w:spacing w:before="120" w:after="120" w:line="276" w:lineRule="auto"/>
              <w:rPr>
                <w:sz w:val="22"/>
                <w:szCs w:val="22"/>
              </w:rPr>
            </w:pPr>
            <w:r w:rsidRPr="005A76C0">
              <w:rPr>
                <w:sz w:val="22"/>
                <w:szCs w:val="22"/>
              </w:rPr>
              <w:t>&lt;95%</w:t>
            </w:r>
          </w:p>
        </w:tc>
      </w:tr>
      <w:tr w:rsidR="00CD480D" w:rsidRPr="005A76C0" w14:paraId="59D47D12" w14:textId="77777777" w:rsidTr="00CD480D">
        <w:trPr>
          <w:tblCellSpacing w:w="15" w:type="dxa"/>
        </w:trPr>
        <w:tc>
          <w:tcPr>
            <w:tcW w:w="6759" w:type="dxa"/>
            <w:vAlign w:val="center"/>
          </w:tcPr>
          <w:p w14:paraId="3A92C37B" w14:textId="06777B5A" w:rsidR="00CD480D" w:rsidRPr="005A76C0" w:rsidRDefault="00CD480D" w:rsidP="005A76C0">
            <w:pPr>
              <w:spacing w:before="120" w:after="120" w:line="276" w:lineRule="auto"/>
              <w:rPr>
                <w:sz w:val="22"/>
                <w:szCs w:val="22"/>
              </w:rPr>
            </w:pPr>
            <w:r w:rsidRPr="00CD480D">
              <w:rPr>
                <w:sz w:val="22"/>
                <w:szCs w:val="22"/>
              </w:rPr>
              <w:t>Customer health score (% of active accounts rated healthy in the current monitoring cycle)</w:t>
            </w:r>
          </w:p>
        </w:tc>
        <w:tc>
          <w:tcPr>
            <w:tcW w:w="963" w:type="dxa"/>
            <w:vAlign w:val="center"/>
          </w:tcPr>
          <w:p w14:paraId="2B6220F3" w14:textId="4AA3F9F8" w:rsidR="00CD480D" w:rsidRPr="005A76C0" w:rsidRDefault="00CD480D" w:rsidP="005A76C0">
            <w:pPr>
              <w:spacing w:before="120" w:after="120" w:line="276" w:lineRule="auto"/>
              <w:rPr>
                <w:sz w:val="22"/>
                <w:szCs w:val="22"/>
              </w:rPr>
            </w:pPr>
            <w:r w:rsidRPr="00CD480D">
              <w:rPr>
                <w:sz w:val="22"/>
                <w:szCs w:val="22"/>
              </w:rPr>
              <w:t>≥85% healthy</w:t>
            </w:r>
          </w:p>
        </w:tc>
        <w:tc>
          <w:tcPr>
            <w:tcW w:w="923" w:type="dxa"/>
            <w:vAlign w:val="center"/>
          </w:tcPr>
          <w:p w14:paraId="6E96C6E4" w14:textId="277D3638" w:rsidR="00CD480D" w:rsidRPr="005A76C0" w:rsidRDefault="00CD480D" w:rsidP="005A76C0">
            <w:pPr>
              <w:spacing w:before="120" w:after="120" w:line="276" w:lineRule="auto"/>
              <w:rPr>
                <w:sz w:val="22"/>
                <w:szCs w:val="22"/>
              </w:rPr>
            </w:pPr>
            <w:r w:rsidRPr="00CD480D">
              <w:rPr>
                <w:sz w:val="22"/>
                <w:szCs w:val="22"/>
              </w:rPr>
              <w:t>70-84% healthy</w:t>
            </w:r>
          </w:p>
        </w:tc>
        <w:tc>
          <w:tcPr>
            <w:tcW w:w="0" w:type="auto"/>
            <w:vAlign w:val="center"/>
          </w:tcPr>
          <w:p w14:paraId="29591702" w14:textId="74182482" w:rsidR="00CD480D" w:rsidRPr="005A76C0" w:rsidRDefault="00B83B87" w:rsidP="005A76C0">
            <w:pPr>
              <w:spacing w:before="120" w:after="120" w:line="276" w:lineRule="auto"/>
              <w:rPr>
                <w:sz w:val="22"/>
                <w:szCs w:val="22"/>
              </w:rPr>
            </w:pPr>
            <w:r w:rsidRPr="00B83B87">
              <w:rPr>
                <w:sz w:val="22"/>
                <w:szCs w:val="22"/>
              </w:rPr>
              <w:t>&lt;70% healthy</w:t>
            </w:r>
          </w:p>
        </w:tc>
      </w:tr>
    </w:tbl>
    <w:p w14:paraId="789796D7" w14:textId="4774ABA6" w:rsidR="005A76C0" w:rsidRPr="005A76C0" w:rsidRDefault="005A76C0" w:rsidP="005A76C0">
      <w:pPr>
        <w:spacing w:before="120" w:after="120" w:line="276" w:lineRule="auto"/>
        <w:rPr>
          <w:sz w:val="22"/>
          <w:szCs w:val="22"/>
        </w:rPr>
      </w:pPr>
    </w:p>
    <w:p w14:paraId="6A829F27" w14:textId="77777777" w:rsidR="005A76C0" w:rsidRPr="005A76C0" w:rsidRDefault="005A76C0" w:rsidP="003A4DBB">
      <w:pPr>
        <w:pStyle w:val="Heading2"/>
      </w:pPr>
      <w:r w:rsidRPr="005A76C0">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1489"/>
        <w:gridCol w:w="1931"/>
        <w:gridCol w:w="1971"/>
      </w:tblGrid>
      <w:tr w:rsidR="005A76C0" w:rsidRPr="005A76C0" w14:paraId="18C88CAA" w14:textId="77777777" w:rsidTr="003A4DBB">
        <w:trPr>
          <w:tblHeader/>
          <w:tblCellSpacing w:w="15" w:type="dxa"/>
        </w:trPr>
        <w:tc>
          <w:tcPr>
            <w:tcW w:w="3924" w:type="dxa"/>
            <w:vAlign w:val="center"/>
            <w:hideMark/>
          </w:tcPr>
          <w:p w14:paraId="30208E7C" w14:textId="77777777" w:rsidR="005A76C0" w:rsidRPr="005A76C0" w:rsidRDefault="005A76C0" w:rsidP="005A76C0">
            <w:pPr>
              <w:spacing w:before="120" w:after="120" w:line="276" w:lineRule="auto"/>
              <w:rPr>
                <w:b/>
                <w:bCs/>
                <w:sz w:val="22"/>
                <w:szCs w:val="22"/>
              </w:rPr>
            </w:pPr>
            <w:r w:rsidRPr="005A76C0">
              <w:rPr>
                <w:b/>
                <w:bCs/>
                <w:sz w:val="22"/>
                <w:szCs w:val="22"/>
              </w:rPr>
              <w:t>Target</w:t>
            </w:r>
          </w:p>
        </w:tc>
        <w:tc>
          <w:tcPr>
            <w:tcW w:w="1459" w:type="dxa"/>
            <w:vAlign w:val="center"/>
            <w:hideMark/>
          </w:tcPr>
          <w:p w14:paraId="6C06F36D" w14:textId="77777777" w:rsidR="005A76C0" w:rsidRPr="005A76C0" w:rsidRDefault="005A76C0" w:rsidP="005A76C0">
            <w:pPr>
              <w:spacing w:before="120" w:after="120" w:line="276" w:lineRule="auto"/>
              <w:rPr>
                <w:b/>
                <w:bCs/>
                <w:sz w:val="22"/>
                <w:szCs w:val="22"/>
              </w:rPr>
            </w:pPr>
            <w:r w:rsidRPr="005A76C0">
              <w:rPr>
                <w:b/>
                <w:bCs/>
                <w:sz w:val="22"/>
                <w:szCs w:val="22"/>
              </w:rPr>
              <w:t>Green</w:t>
            </w:r>
          </w:p>
        </w:tc>
        <w:tc>
          <w:tcPr>
            <w:tcW w:w="0" w:type="auto"/>
            <w:vAlign w:val="center"/>
            <w:hideMark/>
          </w:tcPr>
          <w:p w14:paraId="61B58845" w14:textId="77777777" w:rsidR="005A76C0" w:rsidRPr="005A76C0" w:rsidRDefault="005A76C0" w:rsidP="005A76C0">
            <w:pPr>
              <w:spacing w:before="120" w:after="120" w:line="276" w:lineRule="auto"/>
              <w:rPr>
                <w:b/>
                <w:bCs/>
                <w:sz w:val="22"/>
                <w:szCs w:val="22"/>
              </w:rPr>
            </w:pPr>
            <w:r w:rsidRPr="005A76C0">
              <w:rPr>
                <w:b/>
                <w:bCs/>
                <w:sz w:val="22"/>
                <w:szCs w:val="22"/>
              </w:rPr>
              <w:t>Yellow</w:t>
            </w:r>
          </w:p>
        </w:tc>
        <w:tc>
          <w:tcPr>
            <w:tcW w:w="0" w:type="auto"/>
            <w:vAlign w:val="center"/>
            <w:hideMark/>
          </w:tcPr>
          <w:p w14:paraId="0C3999A8" w14:textId="77777777" w:rsidR="005A76C0" w:rsidRPr="005A76C0" w:rsidRDefault="005A76C0" w:rsidP="005A76C0">
            <w:pPr>
              <w:spacing w:before="120" w:after="120" w:line="276" w:lineRule="auto"/>
              <w:rPr>
                <w:b/>
                <w:bCs/>
                <w:sz w:val="22"/>
                <w:szCs w:val="22"/>
              </w:rPr>
            </w:pPr>
            <w:r w:rsidRPr="005A76C0">
              <w:rPr>
                <w:b/>
                <w:bCs/>
                <w:sz w:val="22"/>
                <w:szCs w:val="22"/>
              </w:rPr>
              <w:t>Red</w:t>
            </w:r>
          </w:p>
        </w:tc>
      </w:tr>
      <w:tr w:rsidR="005A76C0" w:rsidRPr="005A76C0" w14:paraId="4906F872" w14:textId="77777777" w:rsidTr="003A4DBB">
        <w:trPr>
          <w:tblCellSpacing w:w="15" w:type="dxa"/>
        </w:trPr>
        <w:tc>
          <w:tcPr>
            <w:tcW w:w="3924" w:type="dxa"/>
            <w:vAlign w:val="center"/>
            <w:hideMark/>
          </w:tcPr>
          <w:p w14:paraId="60C905EF" w14:textId="77777777" w:rsidR="005A76C0" w:rsidRPr="005A76C0" w:rsidRDefault="005A76C0" w:rsidP="005A76C0">
            <w:pPr>
              <w:spacing w:before="120" w:after="120" w:line="276" w:lineRule="auto"/>
              <w:rPr>
                <w:sz w:val="22"/>
                <w:szCs w:val="22"/>
              </w:rPr>
            </w:pPr>
            <w:r w:rsidRPr="005A76C0">
              <w:rPr>
                <w:sz w:val="22"/>
                <w:szCs w:val="22"/>
              </w:rPr>
              <w:t>Customer support resolution time (average time to full ticket resolution, against defined SLA by tier)</w:t>
            </w:r>
          </w:p>
        </w:tc>
        <w:tc>
          <w:tcPr>
            <w:tcW w:w="1459" w:type="dxa"/>
            <w:vAlign w:val="center"/>
            <w:hideMark/>
          </w:tcPr>
          <w:p w14:paraId="1AF59A29" w14:textId="77777777" w:rsidR="005A76C0" w:rsidRPr="005A76C0" w:rsidRDefault="005A76C0" w:rsidP="005A76C0">
            <w:pPr>
              <w:spacing w:before="120" w:after="120" w:line="276" w:lineRule="auto"/>
              <w:rPr>
                <w:sz w:val="22"/>
                <w:szCs w:val="22"/>
              </w:rPr>
            </w:pPr>
            <w:r w:rsidRPr="005A76C0">
              <w:rPr>
                <w:sz w:val="22"/>
                <w:szCs w:val="22"/>
              </w:rPr>
              <w:t>At or below SLA</w:t>
            </w:r>
          </w:p>
        </w:tc>
        <w:tc>
          <w:tcPr>
            <w:tcW w:w="0" w:type="auto"/>
            <w:vAlign w:val="center"/>
            <w:hideMark/>
          </w:tcPr>
          <w:p w14:paraId="5B27E5CB" w14:textId="77777777" w:rsidR="005A76C0" w:rsidRPr="005A76C0" w:rsidRDefault="005A76C0" w:rsidP="005A76C0">
            <w:pPr>
              <w:spacing w:before="120" w:after="120" w:line="276" w:lineRule="auto"/>
              <w:rPr>
                <w:sz w:val="22"/>
                <w:szCs w:val="22"/>
              </w:rPr>
            </w:pPr>
            <w:r w:rsidRPr="005A76C0">
              <w:rPr>
                <w:sz w:val="22"/>
                <w:szCs w:val="22"/>
              </w:rPr>
              <w:t>1–10% above SLA</w:t>
            </w:r>
          </w:p>
        </w:tc>
        <w:tc>
          <w:tcPr>
            <w:tcW w:w="0" w:type="auto"/>
            <w:vAlign w:val="center"/>
            <w:hideMark/>
          </w:tcPr>
          <w:p w14:paraId="24A780DA" w14:textId="77777777" w:rsidR="005A76C0" w:rsidRPr="005A76C0" w:rsidRDefault="005A76C0" w:rsidP="005A76C0">
            <w:pPr>
              <w:spacing w:before="120" w:after="120" w:line="276" w:lineRule="auto"/>
              <w:rPr>
                <w:sz w:val="22"/>
                <w:szCs w:val="22"/>
              </w:rPr>
            </w:pPr>
            <w:r w:rsidRPr="005A76C0">
              <w:rPr>
                <w:sz w:val="22"/>
                <w:szCs w:val="22"/>
              </w:rPr>
              <w:t>&gt;10% above SLA</w:t>
            </w:r>
          </w:p>
        </w:tc>
      </w:tr>
      <w:tr w:rsidR="004C23BE" w:rsidRPr="005A76C0" w14:paraId="2A207033" w14:textId="77777777" w:rsidTr="003A4DBB">
        <w:trPr>
          <w:tblCellSpacing w:w="15" w:type="dxa"/>
        </w:trPr>
        <w:tc>
          <w:tcPr>
            <w:tcW w:w="3924" w:type="dxa"/>
            <w:vAlign w:val="center"/>
          </w:tcPr>
          <w:p w14:paraId="30BDA38D" w14:textId="5AE8FC3A" w:rsidR="004C23BE" w:rsidRPr="005A76C0" w:rsidRDefault="004C23BE" w:rsidP="005A76C0">
            <w:pPr>
              <w:spacing w:before="120" w:after="120" w:line="276" w:lineRule="auto"/>
              <w:rPr>
                <w:sz w:val="22"/>
                <w:szCs w:val="22"/>
              </w:rPr>
            </w:pPr>
            <w:r w:rsidRPr="004C23BE">
              <w:rPr>
                <w:sz w:val="22"/>
                <w:szCs w:val="22"/>
              </w:rPr>
              <w:t>Time to First Impact (average days from customer kickoff to documented first success outcome, against target)</w:t>
            </w:r>
          </w:p>
        </w:tc>
        <w:tc>
          <w:tcPr>
            <w:tcW w:w="1459" w:type="dxa"/>
            <w:vAlign w:val="center"/>
          </w:tcPr>
          <w:p w14:paraId="7638241F" w14:textId="3AE3625F" w:rsidR="004C23BE" w:rsidRPr="005A76C0" w:rsidRDefault="005E154B" w:rsidP="005A76C0">
            <w:pPr>
              <w:spacing w:before="120" w:after="120" w:line="276" w:lineRule="auto"/>
              <w:rPr>
                <w:sz w:val="22"/>
                <w:szCs w:val="22"/>
              </w:rPr>
            </w:pPr>
            <w:r w:rsidRPr="005E154B">
              <w:rPr>
                <w:sz w:val="22"/>
                <w:szCs w:val="22"/>
              </w:rPr>
              <w:t>At or below target</w:t>
            </w:r>
          </w:p>
        </w:tc>
        <w:tc>
          <w:tcPr>
            <w:tcW w:w="0" w:type="auto"/>
            <w:vAlign w:val="center"/>
          </w:tcPr>
          <w:p w14:paraId="62CEB98A" w14:textId="0CE2A78E" w:rsidR="004C23BE" w:rsidRPr="005A76C0" w:rsidRDefault="005E154B" w:rsidP="005A76C0">
            <w:pPr>
              <w:spacing w:before="120" w:after="120" w:line="276" w:lineRule="auto"/>
              <w:rPr>
                <w:sz w:val="22"/>
                <w:szCs w:val="22"/>
              </w:rPr>
            </w:pPr>
            <w:r w:rsidRPr="005E154B">
              <w:rPr>
                <w:sz w:val="22"/>
                <w:szCs w:val="22"/>
              </w:rPr>
              <w:t>1-15% above target</w:t>
            </w:r>
          </w:p>
        </w:tc>
        <w:tc>
          <w:tcPr>
            <w:tcW w:w="0" w:type="auto"/>
            <w:vAlign w:val="center"/>
          </w:tcPr>
          <w:p w14:paraId="2FB0BBC6" w14:textId="076B878C" w:rsidR="004C23BE" w:rsidRPr="005A76C0" w:rsidRDefault="005E154B" w:rsidP="005A76C0">
            <w:pPr>
              <w:spacing w:before="120" w:after="120" w:line="276" w:lineRule="auto"/>
              <w:rPr>
                <w:sz w:val="22"/>
                <w:szCs w:val="22"/>
              </w:rPr>
            </w:pPr>
            <w:r w:rsidRPr="005E154B">
              <w:rPr>
                <w:sz w:val="22"/>
                <w:szCs w:val="22"/>
              </w:rPr>
              <w:t>&gt;15% above target</w:t>
            </w:r>
          </w:p>
        </w:tc>
      </w:tr>
      <w:tr w:rsidR="004C23BE" w:rsidRPr="005A76C0" w14:paraId="726FE811" w14:textId="77777777" w:rsidTr="003A4DBB">
        <w:trPr>
          <w:tblCellSpacing w:w="15" w:type="dxa"/>
        </w:trPr>
        <w:tc>
          <w:tcPr>
            <w:tcW w:w="3924" w:type="dxa"/>
            <w:vAlign w:val="center"/>
          </w:tcPr>
          <w:p w14:paraId="55B0CA17" w14:textId="25FD7AFB" w:rsidR="004C23BE" w:rsidRPr="005A76C0" w:rsidRDefault="004C23BE" w:rsidP="005A76C0">
            <w:pPr>
              <w:spacing w:before="120" w:after="120" w:line="276" w:lineRule="auto"/>
              <w:rPr>
                <w:sz w:val="22"/>
                <w:szCs w:val="22"/>
              </w:rPr>
            </w:pPr>
            <w:r w:rsidRPr="004C23BE">
              <w:rPr>
                <w:sz w:val="22"/>
                <w:szCs w:val="22"/>
              </w:rPr>
              <w:lastRenderedPageBreak/>
              <w:t>Net Revenue Retention (NRR) (total revenue from existing customers including expansions and renewals, minus churn, as % of prior period revenue)</w:t>
            </w:r>
          </w:p>
        </w:tc>
        <w:tc>
          <w:tcPr>
            <w:tcW w:w="1459" w:type="dxa"/>
            <w:vAlign w:val="center"/>
          </w:tcPr>
          <w:p w14:paraId="7A45B622" w14:textId="6BD44712" w:rsidR="004C23BE" w:rsidRPr="005A76C0" w:rsidRDefault="005E154B" w:rsidP="005A76C0">
            <w:pPr>
              <w:spacing w:before="120" w:after="120" w:line="276" w:lineRule="auto"/>
              <w:rPr>
                <w:sz w:val="22"/>
                <w:szCs w:val="22"/>
              </w:rPr>
            </w:pPr>
            <w:r w:rsidRPr="005E154B">
              <w:rPr>
                <w:sz w:val="22"/>
                <w:szCs w:val="22"/>
              </w:rPr>
              <w:t>≥100%</w:t>
            </w:r>
          </w:p>
        </w:tc>
        <w:tc>
          <w:tcPr>
            <w:tcW w:w="0" w:type="auto"/>
            <w:vAlign w:val="center"/>
          </w:tcPr>
          <w:p w14:paraId="5F693820" w14:textId="06B15239" w:rsidR="004C23BE" w:rsidRPr="005A76C0" w:rsidRDefault="00DA12C7" w:rsidP="005A76C0">
            <w:pPr>
              <w:spacing w:before="120" w:after="120" w:line="276" w:lineRule="auto"/>
              <w:rPr>
                <w:sz w:val="22"/>
                <w:szCs w:val="22"/>
              </w:rPr>
            </w:pPr>
            <w:r w:rsidRPr="00DA12C7">
              <w:rPr>
                <w:sz w:val="22"/>
                <w:szCs w:val="22"/>
              </w:rPr>
              <w:t>90-99%</w:t>
            </w:r>
          </w:p>
        </w:tc>
        <w:tc>
          <w:tcPr>
            <w:tcW w:w="0" w:type="auto"/>
            <w:vAlign w:val="center"/>
          </w:tcPr>
          <w:p w14:paraId="629B148A" w14:textId="30C92640" w:rsidR="004C23BE" w:rsidRPr="005A76C0" w:rsidRDefault="00DA12C7" w:rsidP="005A76C0">
            <w:pPr>
              <w:spacing w:before="120" w:after="120" w:line="276" w:lineRule="auto"/>
              <w:rPr>
                <w:sz w:val="22"/>
                <w:szCs w:val="22"/>
              </w:rPr>
            </w:pPr>
            <w:r w:rsidRPr="00DA12C7">
              <w:rPr>
                <w:sz w:val="22"/>
                <w:szCs w:val="22"/>
              </w:rPr>
              <w:t>&lt;90%</w:t>
            </w:r>
          </w:p>
        </w:tc>
      </w:tr>
      <w:tr w:rsidR="004C23BE" w:rsidRPr="005A76C0" w14:paraId="261B6378" w14:textId="77777777" w:rsidTr="003A4DBB">
        <w:trPr>
          <w:tblCellSpacing w:w="15" w:type="dxa"/>
        </w:trPr>
        <w:tc>
          <w:tcPr>
            <w:tcW w:w="3924" w:type="dxa"/>
            <w:vAlign w:val="center"/>
          </w:tcPr>
          <w:p w14:paraId="55FCF8A4" w14:textId="0DD409E1" w:rsidR="004C23BE" w:rsidRPr="005A76C0" w:rsidRDefault="005E154B" w:rsidP="005A76C0">
            <w:pPr>
              <w:spacing w:before="120" w:after="120" w:line="276" w:lineRule="auto"/>
              <w:rPr>
                <w:sz w:val="22"/>
                <w:szCs w:val="22"/>
              </w:rPr>
            </w:pPr>
            <w:r w:rsidRPr="005E154B">
              <w:rPr>
                <w:sz w:val="22"/>
                <w:szCs w:val="22"/>
              </w:rPr>
              <w:t>Expansion ARR from existing customers (qualified expansion opportunities identified and handed to Revenue per quarter)</w:t>
            </w:r>
          </w:p>
        </w:tc>
        <w:tc>
          <w:tcPr>
            <w:tcW w:w="1459" w:type="dxa"/>
            <w:vAlign w:val="center"/>
          </w:tcPr>
          <w:p w14:paraId="64DB94DA" w14:textId="791A08BA" w:rsidR="004C23BE" w:rsidRPr="005A76C0" w:rsidRDefault="005E154B" w:rsidP="005A76C0">
            <w:pPr>
              <w:spacing w:before="120" w:after="120" w:line="276" w:lineRule="auto"/>
              <w:rPr>
                <w:sz w:val="22"/>
                <w:szCs w:val="22"/>
              </w:rPr>
            </w:pPr>
            <w:r w:rsidRPr="005E154B">
              <w:rPr>
                <w:sz w:val="22"/>
                <w:szCs w:val="22"/>
              </w:rPr>
              <w:t>At or above plan</w:t>
            </w:r>
          </w:p>
        </w:tc>
        <w:tc>
          <w:tcPr>
            <w:tcW w:w="0" w:type="auto"/>
            <w:vAlign w:val="center"/>
          </w:tcPr>
          <w:p w14:paraId="56EA5F49" w14:textId="1079E802" w:rsidR="004C23BE" w:rsidRPr="005A76C0" w:rsidRDefault="00DA12C7" w:rsidP="005A76C0">
            <w:pPr>
              <w:spacing w:before="120" w:after="120" w:line="276" w:lineRule="auto"/>
              <w:rPr>
                <w:sz w:val="22"/>
                <w:szCs w:val="22"/>
              </w:rPr>
            </w:pPr>
            <w:r w:rsidRPr="00DA12C7">
              <w:rPr>
                <w:sz w:val="22"/>
                <w:szCs w:val="22"/>
              </w:rPr>
              <w:t>1-20% below plan</w:t>
            </w:r>
          </w:p>
        </w:tc>
        <w:tc>
          <w:tcPr>
            <w:tcW w:w="0" w:type="auto"/>
            <w:vAlign w:val="center"/>
          </w:tcPr>
          <w:p w14:paraId="78566987" w14:textId="17FB1C6A" w:rsidR="004C23BE" w:rsidRPr="005A76C0" w:rsidRDefault="00DA12C7" w:rsidP="005A76C0">
            <w:pPr>
              <w:spacing w:before="120" w:after="120" w:line="276" w:lineRule="auto"/>
              <w:rPr>
                <w:sz w:val="22"/>
                <w:szCs w:val="22"/>
              </w:rPr>
            </w:pPr>
            <w:r w:rsidRPr="00DA12C7">
              <w:rPr>
                <w:sz w:val="22"/>
                <w:szCs w:val="22"/>
              </w:rPr>
              <w:t>&gt;20% below plan</w:t>
            </w:r>
          </w:p>
        </w:tc>
      </w:tr>
      <w:tr w:rsidR="005A76C0" w:rsidRPr="005A76C0" w14:paraId="5290520E" w14:textId="77777777" w:rsidTr="003A4DBB">
        <w:trPr>
          <w:tblCellSpacing w:w="15" w:type="dxa"/>
        </w:trPr>
        <w:tc>
          <w:tcPr>
            <w:tcW w:w="3924" w:type="dxa"/>
            <w:vAlign w:val="center"/>
            <w:hideMark/>
          </w:tcPr>
          <w:p w14:paraId="2B7611AB" w14:textId="77777777" w:rsidR="005A76C0" w:rsidRPr="005A76C0" w:rsidRDefault="005A76C0" w:rsidP="005A76C0">
            <w:pPr>
              <w:spacing w:before="120" w:after="120" w:line="276" w:lineRule="auto"/>
              <w:rPr>
                <w:sz w:val="22"/>
                <w:szCs w:val="22"/>
              </w:rPr>
            </w:pPr>
            <w:r w:rsidRPr="005A76C0">
              <w:rPr>
                <w:sz w:val="22"/>
                <w:szCs w:val="22"/>
              </w:rPr>
              <w:t>Launch readiness pass rate (% of product launches and partner onboardings that meet all operational readiness criteria before go-live)</w:t>
            </w:r>
          </w:p>
        </w:tc>
        <w:tc>
          <w:tcPr>
            <w:tcW w:w="1459" w:type="dxa"/>
            <w:vAlign w:val="center"/>
            <w:hideMark/>
          </w:tcPr>
          <w:p w14:paraId="6B90A84E" w14:textId="77777777" w:rsidR="005A76C0" w:rsidRPr="005A76C0" w:rsidRDefault="005A76C0" w:rsidP="005A76C0">
            <w:pPr>
              <w:spacing w:before="120" w:after="120" w:line="276" w:lineRule="auto"/>
              <w:rPr>
                <w:sz w:val="22"/>
                <w:szCs w:val="22"/>
              </w:rPr>
            </w:pPr>
            <w:r w:rsidRPr="005A76C0">
              <w:rPr>
                <w:sz w:val="22"/>
                <w:szCs w:val="22"/>
              </w:rPr>
              <w:t>100%</w:t>
            </w:r>
          </w:p>
        </w:tc>
        <w:tc>
          <w:tcPr>
            <w:tcW w:w="0" w:type="auto"/>
            <w:vAlign w:val="center"/>
            <w:hideMark/>
          </w:tcPr>
          <w:p w14:paraId="2795BAB7" w14:textId="77777777" w:rsidR="005A76C0" w:rsidRPr="005A76C0" w:rsidRDefault="005A76C0" w:rsidP="005A76C0">
            <w:pPr>
              <w:spacing w:before="120" w:after="120" w:line="276" w:lineRule="auto"/>
              <w:rPr>
                <w:sz w:val="22"/>
                <w:szCs w:val="22"/>
              </w:rPr>
            </w:pPr>
            <w:r w:rsidRPr="005A76C0">
              <w:rPr>
                <w:sz w:val="22"/>
                <w:szCs w:val="22"/>
              </w:rPr>
              <w:t>1 exception with documented rationale</w:t>
            </w:r>
          </w:p>
        </w:tc>
        <w:tc>
          <w:tcPr>
            <w:tcW w:w="0" w:type="auto"/>
            <w:vAlign w:val="center"/>
            <w:hideMark/>
          </w:tcPr>
          <w:p w14:paraId="3628B40E" w14:textId="77777777" w:rsidR="005A76C0" w:rsidRPr="005A76C0" w:rsidRDefault="005A76C0" w:rsidP="005A76C0">
            <w:pPr>
              <w:spacing w:before="120" w:after="120" w:line="276" w:lineRule="auto"/>
              <w:rPr>
                <w:sz w:val="22"/>
                <w:szCs w:val="22"/>
              </w:rPr>
            </w:pPr>
            <w:r w:rsidRPr="005A76C0">
              <w:rPr>
                <w:sz w:val="22"/>
                <w:szCs w:val="22"/>
              </w:rPr>
              <w:t>2+ exceptions or undocumented</w:t>
            </w:r>
          </w:p>
        </w:tc>
      </w:tr>
      <w:tr w:rsidR="005A76C0" w:rsidRPr="005A76C0" w14:paraId="2CF17D7F" w14:textId="77777777" w:rsidTr="003A4DBB">
        <w:trPr>
          <w:tblCellSpacing w:w="15" w:type="dxa"/>
        </w:trPr>
        <w:tc>
          <w:tcPr>
            <w:tcW w:w="3924" w:type="dxa"/>
            <w:vAlign w:val="center"/>
            <w:hideMark/>
          </w:tcPr>
          <w:p w14:paraId="05A8BC2E" w14:textId="77777777" w:rsidR="005A76C0" w:rsidRPr="005A76C0" w:rsidRDefault="005A76C0" w:rsidP="005A76C0">
            <w:pPr>
              <w:spacing w:before="120" w:after="120" w:line="276" w:lineRule="auto"/>
              <w:rPr>
                <w:sz w:val="22"/>
                <w:szCs w:val="22"/>
              </w:rPr>
            </w:pPr>
            <w:r w:rsidRPr="005A76C0">
              <w:rPr>
                <w:sz w:val="22"/>
                <w:szCs w:val="22"/>
              </w:rPr>
              <w:t>Cost-to-serve trend (quarter-over-quarter cost per transaction or per FTE, against efficiency targets)</w:t>
            </w:r>
          </w:p>
        </w:tc>
        <w:tc>
          <w:tcPr>
            <w:tcW w:w="1459" w:type="dxa"/>
            <w:vAlign w:val="center"/>
            <w:hideMark/>
          </w:tcPr>
          <w:p w14:paraId="3547E310" w14:textId="77777777" w:rsidR="005A76C0" w:rsidRPr="005A76C0" w:rsidRDefault="005A76C0" w:rsidP="005A76C0">
            <w:pPr>
              <w:spacing w:before="120" w:after="120" w:line="276" w:lineRule="auto"/>
              <w:rPr>
                <w:sz w:val="22"/>
                <w:szCs w:val="22"/>
              </w:rPr>
            </w:pPr>
            <w:r w:rsidRPr="005A76C0">
              <w:rPr>
                <w:sz w:val="22"/>
                <w:szCs w:val="22"/>
              </w:rPr>
              <w:t>Flat or improving</w:t>
            </w:r>
          </w:p>
        </w:tc>
        <w:tc>
          <w:tcPr>
            <w:tcW w:w="0" w:type="auto"/>
            <w:vAlign w:val="center"/>
            <w:hideMark/>
          </w:tcPr>
          <w:p w14:paraId="21DEB90D" w14:textId="77777777" w:rsidR="005A76C0" w:rsidRPr="005A76C0" w:rsidRDefault="005A76C0" w:rsidP="005A76C0">
            <w:pPr>
              <w:spacing w:before="120" w:after="120" w:line="276" w:lineRule="auto"/>
              <w:rPr>
                <w:sz w:val="22"/>
                <w:szCs w:val="22"/>
              </w:rPr>
            </w:pPr>
            <w:r w:rsidRPr="005A76C0">
              <w:rPr>
                <w:sz w:val="22"/>
                <w:szCs w:val="22"/>
              </w:rPr>
              <w:t>Up ≤5% without volume increase</w:t>
            </w:r>
          </w:p>
        </w:tc>
        <w:tc>
          <w:tcPr>
            <w:tcW w:w="0" w:type="auto"/>
            <w:vAlign w:val="center"/>
            <w:hideMark/>
          </w:tcPr>
          <w:p w14:paraId="786DF233" w14:textId="77777777" w:rsidR="005A76C0" w:rsidRPr="005A76C0" w:rsidRDefault="005A76C0" w:rsidP="005A76C0">
            <w:pPr>
              <w:spacing w:before="120" w:after="120" w:line="276" w:lineRule="auto"/>
              <w:rPr>
                <w:sz w:val="22"/>
                <w:szCs w:val="22"/>
              </w:rPr>
            </w:pPr>
            <w:r w:rsidRPr="005A76C0">
              <w:rPr>
                <w:sz w:val="22"/>
                <w:szCs w:val="22"/>
              </w:rPr>
              <w:t>Up &gt;5% without volume increase</w:t>
            </w:r>
          </w:p>
        </w:tc>
      </w:tr>
    </w:tbl>
    <w:p w14:paraId="47684B6D" w14:textId="32EC36E6" w:rsidR="005A76C0" w:rsidRPr="005A76C0" w:rsidRDefault="005A76C0" w:rsidP="005A76C0">
      <w:pPr>
        <w:spacing w:before="120" w:after="120" w:line="276" w:lineRule="auto"/>
        <w:rPr>
          <w:sz w:val="22"/>
          <w:szCs w:val="22"/>
        </w:rPr>
      </w:pPr>
    </w:p>
    <w:p w14:paraId="072269B8" w14:textId="77777777" w:rsidR="005A76C0" w:rsidRPr="005A76C0" w:rsidRDefault="005A76C0" w:rsidP="003A4DBB">
      <w:pPr>
        <w:pStyle w:val="Heading2"/>
      </w:pPr>
      <w:r w:rsidRPr="005A76C0">
        <w:t>Rocks</w:t>
      </w:r>
    </w:p>
    <w:p w14:paraId="4E3E7882" w14:textId="77777777" w:rsidR="005A76C0" w:rsidRPr="005A76C0" w:rsidRDefault="005A76C0" w:rsidP="005A76C0">
      <w:pPr>
        <w:spacing w:before="120" w:after="120" w:line="276" w:lineRule="auto"/>
        <w:rPr>
          <w:sz w:val="22"/>
          <w:szCs w:val="22"/>
        </w:rPr>
      </w:pPr>
      <w:r w:rsidRPr="005A76C0">
        <w:rPr>
          <w:i/>
          <w:iCs/>
          <w:sz w:val="22"/>
          <w:szCs w:val="22"/>
        </w:rPr>
        <w:t>Quarterly Rocks for this seat are set at Annual and Quarterly Planning sessions and tracked weekly in the L10 Scorecard.</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1985"/>
        <w:gridCol w:w="1701"/>
        <w:gridCol w:w="2130"/>
      </w:tblGrid>
      <w:tr w:rsidR="005A76C0" w:rsidRPr="005A76C0" w14:paraId="2DFF8774" w14:textId="77777777" w:rsidTr="00F87421">
        <w:trPr>
          <w:tblHeader/>
          <w:tblCellSpacing w:w="15" w:type="dxa"/>
        </w:trPr>
        <w:tc>
          <w:tcPr>
            <w:tcW w:w="3499" w:type="dxa"/>
            <w:vAlign w:val="center"/>
            <w:hideMark/>
          </w:tcPr>
          <w:p w14:paraId="4DA1E3B3" w14:textId="77777777" w:rsidR="005A76C0" w:rsidRPr="005A76C0" w:rsidRDefault="005A76C0" w:rsidP="005A76C0">
            <w:pPr>
              <w:spacing w:before="120" w:after="120" w:line="276" w:lineRule="auto"/>
              <w:rPr>
                <w:b/>
                <w:bCs/>
                <w:sz w:val="22"/>
                <w:szCs w:val="22"/>
              </w:rPr>
            </w:pPr>
            <w:r w:rsidRPr="005A76C0">
              <w:rPr>
                <w:b/>
                <w:bCs/>
                <w:sz w:val="22"/>
                <w:szCs w:val="22"/>
              </w:rPr>
              <w:t>Rock</w:t>
            </w:r>
          </w:p>
        </w:tc>
        <w:tc>
          <w:tcPr>
            <w:tcW w:w="1955" w:type="dxa"/>
            <w:vAlign w:val="center"/>
            <w:hideMark/>
          </w:tcPr>
          <w:p w14:paraId="56A92703" w14:textId="77777777" w:rsidR="005A76C0" w:rsidRPr="005A76C0" w:rsidRDefault="005A76C0" w:rsidP="005A76C0">
            <w:pPr>
              <w:spacing w:before="120" w:after="120" w:line="276" w:lineRule="auto"/>
              <w:rPr>
                <w:b/>
                <w:bCs/>
                <w:sz w:val="22"/>
                <w:szCs w:val="22"/>
              </w:rPr>
            </w:pPr>
            <w:r w:rsidRPr="005A76C0">
              <w:rPr>
                <w:b/>
                <w:bCs/>
                <w:sz w:val="22"/>
                <w:szCs w:val="22"/>
              </w:rPr>
              <w:t>Owner</w:t>
            </w:r>
          </w:p>
        </w:tc>
        <w:tc>
          <w:tcPr>
            <w:tcW w:w="1671" w:type="dxa"/>
            <w:vAlign w:val="center"/>
            <w:hideMark/>
          </w:tcPr>
          <w:p w14:paraId="324A87E4" w14:textId="77777777" w:rsidR="005A76C0" w:rsidRPr="005A76C0" w:rsidRDefault="005A76C0" w:rsidP="005A76C0">
            <w:pPr>
              <w:spacing w:before="120" w:after="120" w:line="276" w:lineRule="auto"/>
              <w:rPr>
                <w:b/>
                <w:bCs/>
                <w:sz w:val="22"/>
                <w:szCs w:val="22"/>
              </w:rPr>
            </w:pPr>
            <w:r w:rsidRPr="005A76C0">
              <w:rPr>
                <w:b/>
                <w:bCs/>
                <w:sz w:val="22"/>
                <w:szCs w:val="22"/>
              </w:rPr>
              <w:t>Due Date</w:t>
            </w:r>
          </w:p>
        </w:tc>
        <w:tc>
          <w:tcPr>
            <w:tcW w:w="2085" w:type="dxa"/>
            <w:vAlign w:val="center"/>
            <w:hideMark/>
          </w:tcPr>
          <w:p w14:paraId="704BFB95" w14:textId="77777777" w:rsidR="005A76C0" w:rsidRPr="005A76C0" w:rsidRDefault="005A76C0" w:rsidP="005A76C0">
            <w:pPr>
              <w:spacing w:before="120" w:after="120" w:line="276" w:lineRule="auto"/>
              <w:rPr>
                <w:b/>
                <w:bCs/>
                <w:sz w:val="22"/>
                <w:szCs w:val="22"/>
              </w:rPr>
            </w:pPr>
            <w:r w:rsidRPr="005A76C0">
              <w:rPr>
                <w:b/>
                <w:bCs/>
                <w:sz w:val="22"/>
                <w:szCs w:val="22"/>
              </w:rPr>
              <w:t>Status</w:t>
            </w:r>
          </w:p>
        </w:tc>
      </w:tr>
      <w:tr w:rsidR="005A76C0" w:rsidRPr="005A76C0" w14:paraId="0B5DE52A" w14:textId="77777777" w:rsidTr="00F87421">
        <w:trPr>
          <w:tblCellSpacing w:w="15" w:type="dxa"/>
        </w:trPr>
        <w:tc>
          <w:tcPr>
            <w:tcW w:w="3499" w:type="dxa"/>
            <w:vAlign w:val="center"/>
            <w:hideMark/>
          </w:tcPr>
          <w:p w14:paraId="3EFC3E97" w14:textId="77777777" w:rsidR="005A76C0" w:rsidRPr="005A76C0" w:rsidRDefault="005A76C0" w:rsidP="005A76C0">
            <w:pPr>
              <w:spacing w:before="120" w:after="120" w:line="276" w:lineRule="auto"/>
              <w:rPr>
                <w:sz w:val="22"/>
                <w:szCs w:val="22"/>
              </w:rPr>
            </w:pPr>
            <w:r w:rsidRPr="005A76C0">
              <w:rPr>
                <w:sz w:val="22"/>
                <w:szCs w:val="22"/>
              </w:rPr>
              <w:t>Develop plan to scale ALF Delivery (shared with Glenn &amp; All Leaders)</w:t>
            </w:r>
          </w:p>
        </w:tc>
        <w:tc>
          <w:tcPr>
            <w:tcW w:w="1955" w:type="dxa"/>
            <w:vAlign w:val="center"/>
            <w:hideMark/>
          </w:tcPr>
          <w:p w14:paraId="6DF9EB56" w14:textId="5D044133" w:rsidR="005A76C0" w:rsidRPr="005A76C0" w:rsidRDefault="00C00D18" w:rsidP="005A76C0">
            <w:pPr>
              <w:spacing w:before="120" w:after="120" w:line="276" w:lineRule="auto"/>
              <w:rPr>
                <w:sz w:val="22"/>
                <w:szCs w:val="22"/>
              </w:rPr>
            </w:pPr>
            <w:r>
              <w:rPr>
                <w:sz w:val="22"/>
                <w:szCs w:val="22"/>
              </w:rPr>
              <w:t>Head of Delivery</w:t>
            </w:r>
          </w:p>
        </w:tc>
        <w:tc>
          <w:tcPr>
            <w:tcW w:w="1671" w:type="dxa"/>
            <w:vAlign w:val="center"/>
            <w:hideMark/>
          </w:tcPr>
          <w:p w14:paraId="27C64332" w14:textId="77777777" w:rsidR="005A76C0" w:rsidRPr="005A76C0" w:rsidRDefault="005A76C0" w:rsidP="005A76C0">
            <w:pPr>
              <w:spacing w:before="120" w:after="120" w:line="276" w:lineRule="auto"/>
              <w:rPr>
                <w:sz w:val="22"/>
                <w:szCs w:val="22"/>
              </w:rPr>
            </w:pPr>
            <w:r w:rsidRPr="005A76C0">
              <w:rPr>
                <w:sz w:val="22"/>
                <w:szCs w:val="22"/>
              </w:rPr>
              <w:t>March 18, 2026</w:t>
            </w:r>
          </w:p>
        </w:tc>
        <w:tc>
          <w:tcPr>
            <w:tcW w:w="2085" w:type="dxa"/>
            <w:vAlign w:val="center"/>
            <w:hideMark/>
          </w:tcPr>
          <w:p w14:paraId="7C0C9FDD" w14:textId="77777777" w:rsidR="005A76C0" w:rsidRPr="005A76C0" w:rsidRDefault="005A76C0" w:rsidP="005A76C0">
            <w:pPr>
              <w:spacing w:before="120" w:after="120" w:line="276" w:lineRule="auto"/>
              <w:rPr>
                <w:sz w:val="22"/>
                <w:szCs w:val="22"/>
              </w:rPr>
            </w:pPr>
            <w:r w:rsidRPr="005A76C0">
              <w:rPr>
                <w:sz w:val="22"/>
                <w:szCs w:val="22"/>
              </w:rPr>
              <w:t>On Track / Off Track</w:t>
            </w:r>
          </w:p>
        </w:tc>
      </w:tr>
      <w:tr w:rsidR="005A76C0" w:rsidRPr="005A76C0" w14:paraId="30665025" w14:textId="77777777" w:rsidTr="00F87421">
        <w:trPr>
          <w:tblCellSpacing w:w="15" w:type="dxa"/>
        </w:trPr>
        <w:tc>
          <w:tcPr>
            <w:tcW w:w="3499" w:type="dxa"/>
            <w:vAlign w:val="center"/>
            <w:hideMark/>
          </w:tcPr>
          <w:p w14:paraId="2C2D23BF" w14:textId="77777777" w:rsidR="005A76C0" w:rsidRPr="005A76C0" w:rsidRDefault="005A76C0" w:rsidP="005A76C0">
            <w:pPr>
              <w:spacing w:before="120" w:after="120" w:line="276" w:lineRule="auto"/>
              <w:rPr>
                <w:sz w:val="22"/>
                <w:szCs w:val="22"/>
              </w:rPr>
            </w:pPr>
            <w:r w:rsidRPr="005A76C0">
              <w:rPr>
                <w:sz w:val="22"/>
                <w:szCs w:val="22"/>
              </w:rPr>
              <w:t>[Q Rock 2]</w:t>
            </w:r>
          </w:p>
        </w:tc>
        <w:tc>
          <w:tcPr>
            <w:tcW w:w="1955" w:type="dxa"/>
            <w:vAlign w:val="center"/>
            <w:hideMark/>
          </w:tcPr>
          <w:p w14:paraId="5AC125A9" w14:textId="29BC9DFE" w:rsidR="005A76C0" w:rsidRPr="005A76C0" w:rsidRDefault="00C00D18" w:rsidP="005A76C0">
            <w:pPr>
              <w:spacing w:before="120" w:after="120" w:line="276" w:lineRule="auto"/>
              <w:rPr>
                <w:sz w:val="22"/>
                <w:szCs w:val="22"/>
              </w:rPr>
            </w:pPr>
            <w:r>
              <w:rPr>
                <w:sz w:val="22"/>
                <w:szCs w:val="22"/>
              </w:rPr>
              <w:t>Head of Delivery</w:t>
            </w:r>
          </w:p>
        </w:tc>
        <w:tc>
          <w:tcPr>
            <w:tcW w:w="1671" w:type="dxa"/>
            <w:vAlign w:val="center"/>
            <w:hideMark/>
          </w:tcPr>
          <w:p w14:paraId="3ECEA4FA" w14:textId="77777777" w:rsidR="005A76C0" w:rsidRPr="005A76C0" w:rsidRDefault="005A76C0" w:rsidP="005A76C0">
            <w:pPr>
              <w:spacing w:before="120" w:after="120" w:line="276" w:lineRule="auto"/>
              <w:rPr>
                <w:sz w:val="22"/>
                <w:szCs w:val="22"/>
              </w:rPr>
            </w:pPr>
            <w:r w:rsidRPr="005A76C0">
              <w:rPr>
                <w:sz w:val="22"/>
                <w:szCs w:val="22"/>
              </w:rPr>
              <w:t>[Date]</w:t>
            </w:r>
          </w:p>
        </w:tc>
        <w:tc>
          <w:tcPr>
            <w:tcW w:w="2085" w:type="dxa"/>
            <w:vAlign w:val="center"/>
            <w:hideMark/>
          </w:tcPr>
          <w:p w14:paraId="189BE9D5" w14:textId="77777777" w:rsidR="005A76C0" w:rsidRPr="005A76C0" w:rsidRDefault="005A76C0" w:rsidP="005A76C0">
            <w:pPr>
              <w:spacing w:before="120" w:after="120" w:line="276" w:lineRule="auto"/>
              <w:rPr>
                <w:sz w:val="22"/>
                <w:szCs w:val="22"/>
              </w:rPr>
            </w:pPr>
            <w:r w:rsidRPr="005A76C0">
              <w:rPr>
                <w:sz w:val="22"/>
                <w:szCs w:val="22"/>
              </w:rPr>
              <w:t>On Track / Off Track</w:t>
            </w:r>
          </w:p>
        </w:tc>
      </w:tr>
      <w:tr w:rsidR="005A76C0" w:rsidRPr="005A76C0" w14:paraId="613A777B" w14:textId="77777777" w:rsidTr="00F87421">
        <w:trPr>
          <w:tblCellSpacing w:w="15" w:type="dxa"/>
        </w:trPr>
        <w:tc>
          <w:tcPr>
            <w:tcW w:w="3499" w:type="dxa"/>
            <w:vAlign w:val="center"/>
            <w:hideMark/>
          </w:tcPr>
          <w:p w14:paraId="601D6505" w14:textId="77777777" w:rsidR="005A76C0" w:rsidRPr="005A76C0" w:rsidRDefault="005A76C0" w:rsidP="005A76C0">
            <w:pPr>
              <w:spacing w:before="120" w:after="120" w:line="276" w:lineRule="auto"/>
              <w:rPr>
                <w:sz w:val="22"/>
                <w:szCs w:val="22"/>
              </w:rPr>
            </w:pPr>
            <w:r w:rsidRPr="005A76C0">
              <w:rPr>
                <w:sz w:val="22"/>
                <w:szCs w:val="22"/>
              </w:rPr>
              <w:t>[Q Rock 3]</w:t>
            </w:r>
          </w:p>
        </w:tc>
        <w:tc>
          <w:tcPr>
            <w:tcW w:w="1955" w:type="dxa"/>
            <w:vAlign w:val="center"/>
            <w:hideMark/>
          </w:tcPr>
          <w:p w14:paraId="62B958E4" w14:textId="2FA35B5E" w:rsidR="005A76C0" w:rsidRPr="005A76C0" w:rsidRDefault="00C00D18" w:rsidP="005A76C0">
            <w:pPr>
              <w:spacing w:before="120" w:after="120" w:line="276" w:lineRule="auto"/>
              <w:rPr>
                <w:sz w:val="22"/>
                <w:szCs w:val="22"/>
              </w:rPr>
            </w:pPr>
            <w:r>
              <w:rPr>
                <w:sz w:val="22"/>
                <w:szCs w:val="22"/>
              </w:rPr>
              <w:t>Head of Delivery</w:t>
            </w:r>
          </w:p>
        </w:tc>
        <w:tc>
          <w:tcPr>
            <w:tcW w:w="1671" w:type="dxa"/>
            <w:vAlign w:val="center"/>
            <w:hideMark/>
          </w:tcPr>
          <w:p w14:paraId="7B940821" w14:textId="77777777" w:rsidR="005A76C0" w:rsidRPr="005A76C0" w:rsidRDefault="005A76C0" w:rsidP="005A76C0">
            <w:pPr>
              <w:spacing w:before="120" w:after="120" w:line="276" w:lineRule="auto"/>
              <w:rPr>
                <w:sz w:val="22"/>
                <w:szCs w:val="22"/>
              </w:rPr>
            </w:pPr>
            <w:r w:rsidRPr="005A76C0">
              <w:rPr>
                <w:sz w:val="22"/>
                <w:szCs w:val="22"/>
              </w:rPr>
              <w:t>[Date]</w:t>
            </w:r>
          </w:p>
        </w:tc>
        <w:tc>
          <w:tcPr>
            <w:tcW w:w="2085" w:type="dxa"/>
            <w:vAlign w:val="center"/>
            <w:hideMark/>
          </w:tcPr>
          <w:p w14:paraId="7908CA01" w14:textId="77777777" w:rsidR="005A76C0" w:rsidRPr="005A76C0" w:rsidRDefault="005A76C0" w:rsidP="005A76C0">
            <w:pPr>
              <w:spacing w:before="120" w:after="120" w:line="276" w:lineRule="auto"/>
              <w:rPr>
                <w:sz w:val="22"/>
                <w:szCs w:val="22"/>
              </w:rPr>
            </w:pPr>
            <w:r w:rsidRPr="005A76C0">
              <w:rPr>
                <w:sz w:val="22"/>
                <w:szCs w:val="22"/>
              </w:rPr>
              <w:t>On Track / Off Track</w:t>
            </w:r>
          </w:p>
        </w:tc>
      </w:tr>
    </w:tbl>
    <w:p w14:paraId="1B0691E9" w14:textId="4CC3A1C8" w:rsidR="005A76C0" w:rsidRPr="005A76C0" w:rsidRDefault="005A76C0" w:rsidP="005A76C0">
      <w:pPr>
        <w:spacing w:before="120" w:after="120" w:line="276" w:lineRule="auto"/>
        <w:rPr>
          <w:sz w:val="22"/>
          <w:szCs w:val="22"/>
        </w:rPr>
      </w:pPr>
    </w:p>
    <w:p w14:paraId="66186485" w14:textId="77777777" w:rsidR="005A76C0" w:rsidRPr="005A76C0" w:rsidRDefault="005A76C0" w:rsidP="00B73431">
      <w:pPr>
        <w:pStyle w:val="Heading2"/>
      </w:pPr>
      <w:r w:rsidRPr="005A76C0">
        <w:t>People Analyzer</w:t>
      </w:r>
    </w:p>
    <w:tbl>
      <w:tblPr>
        <w:tblW w:w="9427" w:type="dxa"/>
        <w:tblLook w:val="04A0" w:firstRow="1" w:lastRow="0" w:firstColumn="1" w:lastColumn="0" w:noHBand="0" w:noVBand="1"/>
      </w:tblPr>
      <w:tblGrid>
        <w:gridCol w:w="1696"/>
        <w:gridCol w:w="5245"/>
        <w:gridCol w:w="851"/>
        <w:gridCol w:w="847"/>
        <w:gridCol w:w="788"/>
      </w:tblGrid>
      <w:tr w:rsidR="00B76D98" w:rsidRPr="00B76D98" w14:paraId="754F53CB" w14:textId="77777777" w:rsidTr="00B76D98">
        <w:trPr>
          <w:trHeight w:val="302"/>
        </w:trPr>
        <w:tc>
          <w:tcPr>
            <w:tcW w:w="1696" w:type="dxa"/>
            <w:tcBorders>
              <w:top w:val="single" w:sz="4" w:space="0" w:color="auto"/>
              <w:left w:val="single" w:sz="4" w:space="0" w:color="auto"/>
              <w:bottom w:val="single" w:sz="4" w:space="0" w:color="auto"/>
              <w:right w:val="single" w:sz="4" w:space="0" w:color="auto"/>
            </w:tcBorders>
            <w:vAlign w:val="center"/>
            <w:hideMark/>
          </w:tcPr>
          <w:p w14:paraId="28055ADF" w14:textId="77777777" w:rsidR="00B76D98" w:rsidRPr="00B76D98" w:rsidRDefault="00B76D98" w:rsidP="00B76D98">
            <w:pPr>
              <w:spacing w:after="0" w:line="240" w:lineRule="auto"/>
              <w:rPr>
                <w:rFonts w:ascii="Aptos" w:eastAsia="Times New Roman" w:hAnsi="Aptos" w:cs="Times New Roman"/>
                <w:b/>
                <w:bCs/>
                <w:color w:val="000000"/>
                <w:kern w:val="0"/>
                <w:sz w:val="22"/>
                <w:szCs w:val="22"/>
                <w:lang w:eastAsia="en-CA"/>
                <w14:ligatures w14:val="none"/>
              </w:rPr>
            </w:pPr>
            <w:r w:rsidRPr="00B76D98">
              <w:rPr>
                <w:rFonts w:ascii="Aptos" w:eastAsia="Times New Roman" w:hAnsi="Aptos" w:cs="Times New Roman"/>
                <w:b/>
                <w:bCs/>
                <w:color w:val="000000"/>
                <w:kern w:val="0"/>
                <w:sz w:val="22"/>
                <w:szCs w:val="22"/>
                <w:lang w:eastAsia="en-CA"/>
                <w14:ligatures w14:val="none"/>
              </w:rPr>
              <w:t>Lens</w:t>
            </w:r>
          </w:p>
        </w:tc>
        <w:tc>
          <w:tcPr>
            <w:tcW w:w="5245" w:type="dxa"/>
            <w:tcBorders>
              <w:top w:val="single" w:sz="4" w:space="0" w:color="auto"/>
              <w:left w:val="nil"/>
              <w:bottom w:val="single" w:sz="4" w:space="0" w:color="auto"/>
              <w:right w:val="single" w:sz="4" w:space="0" w:color="auto"/>
            </w:tcBorders>
            <w:vAlign w:val="center"/>
            <w:hideMark/>
          </w:tcPr>
          <w:p w14:paraId="707BF26D" w14:textId="77777777" w:rsidR="00B76D98" w:rsidRPr="00B76D98" w:rsidRDefault="00B76D98" w:rsidP="00B76D98">
            <w:pPr>
              <w:spacing w:after="0" w:line="240" w:lineRule="auto"/>
              <w:rPr>
                <w:rFonts w:ascii="Aptos" w:eastAsia="Times New Roman" w:hAnsi="Aptos" w:cs="Times New Roman"/>
                <w:b/>
                <w:bCs/>
                <w:color w:val="000000"/>
                <w:kern w:val="0"/>
                <w:sz w:val="22"/>
                <w:szCs w:val="22"/>
                <w:lang w:eastAsia="en-CA"/>
                <w14:ligatures w14:val="none"/>
              </w:rPr>
            </w:pPr>
            <w:r w:rsidRPr="00B76D98">
              <w:rPr>
                <w:rFonts w:ascii="Aptos" w:eastAsia="Times New Roman" w:hAnsi="Aptos" w:cs="Times New Roman"/>
                <w:b/>
                <w:bCs/>
                <w:color w:val="000000"/>
                <w:kern w:val="0"/>
                <w:sz w:val="22"/>
                <w:szCs w:val="22"/>
                <w:lang w:eastAsia="en-CA"/>
                <w14:ligatures w14:val="none"/>
              </w:rPr>
              <w:t>Evaluative Question</w:t>
            </w:r>
          </w:p>
        </w:tc>
        <w:tc>
          <w:tcPr>
            <w:tcW w:w="851" w:type="dxa"/>
            <w:tcBorders>
              <w:top w:val="single" w:sz="4" w:space="0" w:color="auto"/>
              <w:left w:val="nil"/>
              <w:bottom w:val="single" w:sz="4" w:space="0" w:color="auto"/>
              <w:right w:val="single" w:sz="4" w:space="0" w:color="auto"/>
            </w:tcBorders>
            <w:vAlign w:val="center"/>
            <w:hideMark/>
          </w:tcPr>
          <w:p w14:paraId="5E10427F" w14:textId="77777777" w:rsidR="00B76D98" w:rsidRPr="00B76D98" w:rsidRDefault="00B76D98" w:rsidP="00B76D98">
            <w:pPr>
              <w:spacing w:after="0" w:line="240" w:lineRule="auto"/>
              <w:jc w:val="center"/>
              <w:rPr>
                <w:rFonts w:ascii="Aptos" w:eastAsia="Times New Roman" w:hAnsi="Aptos" w:cs="Times New Roman"/>
                <w:b/>
                <w:bCs/>
                <w:color w:val="000000"/>
                <w:kern w:val="0"/>
                <w:sz w:val="22"/>
                <w:szCs w:val="22"/>
                <w:lang w:eastAsia="en-CA"/>
                <w14:ligatures w14:val="none"/>
              </w:rPr>
            </w:pPr>
            <w:r w:rsidRPr="00B76D98">
              <w:rPr>
                <w:rFonts w:ascii="Aptos" w:eastAsia="Times New Roman" w:hAnsi="Aptos" w:cs="Times New Roman"/>
                <w:b/>
                <w:bCs/>
                <w:color w:val="000000"/>
                <w:kern w:val="0"/>
                <w:sz w:val="22"/>
                <w:szCs w:val="22"/>
                <w:lang w:eastAsia="en-CA"/>
                <w14:ligatures w14:val="none"/>
              </w:rPr>
              <w:t>+</w:t>
            </w:r>
          </w:p>
        </w:tc>
        <w:tc>
          <w:tcPr>
            <w:tcW w:w="847" w:type="dxa"/>
            <w:tcBorders>
              <w:top w:val="single" w:sz="4" w:space="0" w:color="auto"/>
              <w:left w:val="nil"/>
              <w:bottom w:val="single" w:sz="4" w:space="0" w:color="auto"/>
              <w:right w:val="single" w:sz="4" w:space="0" w:color="auto"/>
            </w:tcBorders>
            <w:vAlign w:val="center"/>
            <w:hideMark/>
          </w:tcPr>
          <w:p w14:paraId="30D3E891" w14:textId="77777777" w:rsidR="00B76D98" w:rsidRPr="00B76D98" w:rsidRDefault="00B76D98" w:rsidP="00B76D98">
            <w:pPr>
              <w:spacing w:after="0" w:line="240" w:lineRule="auto"/>
              <w:jc w:val="center"/>
              <w:rPr>
                <w:rFonts w:ascii="Aptos" w:eastAsia="Times New Roman" w:hAnsi="Aptos" w:cs="Times New Roman"/>
                <w:b/>
                <w:bCs/>
                <w:color w:val="000000"/>
                <w:kern w:val="0"/>
                <w:sz w:val="22"/>
                <w:szCs w:val="22"/>
                <w:lang w:eastAsia="en-CA"/>
                <w14:ligatures w14:val="none"/>
              </w:rPr>
            </w:pPr>
            <w:r w:rsidRPr="00B76D98">
              <w:rPr>
                <w:rFonts w:ascii="Aptos" w:eastAsia="Times New Roman" w:hAnsi="Aptos" w:cs="Times New Roman"/>
                <w:b/>
                <w:bCs/>
                <w:color w:val="000000"/>
                <w:kern w:val="0"/>
                <w:sz w:val="22"/>
                <w:szCs w:val="22"/>
                <w:lang w:eastAsia="en-CA"/>
                <w14:ligatures w14:val="none"/>
              </w:rPr>
              <w:t>+/–</w:t>
            </w:r>
          </w:p>
        </w:tc>
        <w:tc>
          <w:tcPr>
            <w:tcW w:w="788" w:type="dxa"/>
            <w:tcBorders>
              <w:top w:val="single" w:sz="4" w:space="0" w:color="auto"/>
              <w:left w:val="nil"/>
              <w:bottom w:val="single" w:sz="4" w:space="0" w:color="auto"/>
              <w:right w:val="single" w:sz="4" w:space="0" w:color="auto"/>
            </w:tcBorders>
            <w:vAlign w:val="center"/>
            <w:hideMark/>
          </w:tcPr>
          <w:p w14:paraId="4C8DC1C4" w14:textId="77777777" w:rsidR="00B76D98" w:rsidRPr="00B76D98" w:rsidRDefault="00B76D98" w:rsidP="00B76D98">
            <w:pPr>
              <w:spacing w:after="0" w:line="240" w:lineRule="auto"/>
              <w:jc w:val="center"/>
              <w:rPr>
                <w:rFonts w:ascii="Aptos" w:eastAsia="Times New Roman" w:hAnsi="Aptos" w:cs="Times New Roman"/>
                <w:b/>
                <w:bCs/>
                <w:color w:val="000000"/>
                <w:kern w:val="0"/>
                <w:sz w:val="22"/>
                <w:szCs w:val="22"/>
                <w:lang w:eastAsia="en-CA"/>
                <w14:ligatures w14:val="none"/>
              </w:rPr>
            </w:pPr>
            <w:r w:rsidRPr="00B76D98">
              <w:rPr>
                <w:rFonts w:ascii="Aptos" w:eastAsia="Times New Roman" w:hAnsi="Aptos" w:cs="Times New Roman"/>
                <w:b/>
                <w:bCs/>
                <w:color w:val="000000"/>
                <w:kern w:val="0"/>
                <w:sz w:val="22"/>
                <w:szCs w:val="22"/>
                <w:lang w:eastAsia="en-CA"/>
                <w14:ligatures w14:val="none"/>
              </w:rPr>
              <w:t>–</w:t>
            </w:r>
          </w:p>
        </w:tc>
      </w:tr>
      <w:tr w:rsidR="00B76D98" w:rsidRPr="00B76D98" w14:paraId="26C96714" w14:textId="77777777" w:rsidTr="00B76D98">
        <w:trPr>
          <w:trHeight w:val="1209"/>
        </w:trPr>
        <w:tc>
          <w:tcPr>
            <w:tcW w:w="1696" w:type="dxa"/>
            <w:tcBorders>
              <w:top w:val="nil"/>
              <w:left w:val="single" w:sz="4" w:space="0" w:color="auto"/>
              <w:bottom w:val="single" w:sz="4" w:space="0" w:color="auto"/>
              <w:right w:val="single" w:sz="4" w:space="0" w:color="auto"/>
            </w:tcBorders>
            <w:vAlign w:val="center"/>
            <w:hideMark/>
          </w:tcPr>
          <w:p w14:paraId="7F4E798B"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t>We are Accountable</w:t>
            </w:r>
          </w:p>
        </w:tc>
        <w:tc>
          <w:tcPr>
            <w:tcW w:w="5245" w:type="dxa"/>
            <w:tcBorders>
              <w:top w:val="nil"/>
              <w:left w:val="nil"/>
              <w:bottom w:val="single" w:sz="4" w:space="0" w:color="auto"/>
              <w:right w:val="single" w:sz="4" w:space="0" w:color="auto"/>
            </w:tcBorders>
            <w:vAlign w:val="center"/>
            <w:hideMark/>
          </w:tcPr>
          <w:p w14:paraId="0099D1CB" w14:textId="14E20C69" w:rsidR="00B76D98" w:rsidRPr="00B76D98" w:rsidRDefault="00E8559A" w:rsidP="00B76D98">
            <w:pPr>
              <w:spacing w:after="0" w:line="240" w:lineRule="auto"/>
              <w:rPr>
                <w:rFonts w:ascii="Aptos" w:eastAsia="Times New Roman" w:hAnsi="Aptos" w:cs="Times New Roman"/>
                <w:color w:val="000000"/>
                <w:kern w:val="0"/>
                <w:sz w:val="22"/>
                <w:szCs w:val="22"/>
                <w:lang w:eastAsia="en-CA"/>
                <w14:ligatures w14:val="none"/>
              </w:rPr>
            </w:pPr>
            <w:r w:rsidRPr="00E8559A">
              <w:rPr>
                <w:rFonts w:ascii="Aptos" w:eastAsia="Times New Roman" w:hAnsi="Aptos" w:cs="Times New Roman"/>
                <w:color w:val="000000"/>
                <w:kern w:val="0"/>
                <w:sz w:val="22"/>
                <w:szCs w:val="22"/>
                <w:lang w:eastAsia="en-CA"/>
                <w14:ligatures w14:val="none"/>
              </w:rPr>
              <w:t>Does this person own SLA outcomes, customer health, renewal results, and operational quality: naming failures early, tracing root causes, and bringing fixes rather than explanations?</w:t>
            </w:r>
          </w:p>
        </w:tc>
        <w:tc>
          <w:tcPr>
            <w:tcW w:w="851" w:type="dxa"/>
            <w:tcBorders>
              <w:top w:val="nil"/>
              <w:left w:val="nil"/>
              <w:bottom w:val="single" w:sz="4" w:space="0" w:color="auto"/>
              <w:right w:val="single" w:sz="4" w:space="0" w:color="auto"/>
            </w:tcBorders>
            <w:vAlign w:val="center"/>
            <w:hideMark/>
          </w:tcPr>
          <w:p w14:paraId="28121BCF"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59C19D7B"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73C34F62"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r w:rsidR="00B76D98" w:rsidRPr="00B76D98" w14:paraId="7A69D72A" w14:textId="77777777" w:rsidTr="00B76D98">
        <w:trPr>
          <w:trHeight w:val="1209"/>
        </w:trPr>
        <w:tc>
          <w:tcPr>
            <w:tcW w:w="1696" w:type="dxa"/>
            <w:tcBorders>
              <w:top w:val="nil"/>
              <w:left w:val="single" w:sz="4" w:space="0" w:color="auto"/>
              <w:bottom w:val="single" w:sz="4" w:space="0" w:color="auto"/>
              <w:right w:val="single" w:sz="4" w:space="0" w:color="auto"/>
            </w:tcBorders>
            <w:vAlign w:val="center"/>
            <w:hideMark/>
          </w:tcPr>
          <w:p w14:paraId="17842324"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lastRenderedPageBreak/>
              <w:t>We are Curious</w:t>
            </w:r>
          </w:p>
        </w:tc>
        <w:tc>
          <w:tcPr>
            <w:tcW w:w="5245" w:type="dxa"/>
            <w:tcBorders>
              <w:top w:val="nil"/>
              <w:left w:val="nil"/>
              <w:bottom w:val="single" w:sz="4" w:space="0" w:color="auto"/>
              <w:right w:val="single" w:sz="4" w:space="0" w:color="auto"/>
            </w:tcBorders>
            <w:vAlign w:val="center"/>
            <w:hideMark/>
          </w:tcPr>
          <w:p w14:paraId="4344CA62" w14:textId="33643238" w:rsidR="00B76D98" w:rsidRPr="00B76D98" w:rsidRDefault="005B1A44" w:rsidP="00B76D98">
            <w:pPr>
              <w:spacing w:after="0" w:line="240" w:lineRule="auto"/>
              <w:rPr>
                <w:rFonts w:ascii="Aptos" w:eastAsia="Times New Roman" w:hAnsi="Aptos" w:cs="Times New Roman"/>
                <w:color w:val="000000"/>
                <w:kern w:val="0"/>
                <w:sz w:val="22"/>
                <w:szCs w:val="22"/>
                <w:lang w:eastAsia="en-CA"/>
                <w14:ligatures w14:val="none"/>
              </w:rPr>
            </w:pPr>
            <w:r w:rsidRPr="005B1A44">
              <w:rPr>
                <w:rFonts w:ascii="Aptos" w:eastAsia="Times New Roman" w:hAnsi="Aptos" w:cs="Times New Roman"/>
                <w:color w:val="000000"/>
                <w:kern w:val="0"/>
                <w:sz w:val="22"/>
                <w:szCs w:val="22"/>
                <w:lang w:eastAsia="en-CA"/>
                <w14:ligatures w14:val="none"/>
              </w:rPr>
              <w:t>Does this person diagnose recurring errors, escalation patterns, and customer health signals systematically rather than addressing them as isolated incidents?</w:t>
            </w:r>
          </w:p>
        </w:tc>
        <w:tc>
          <w:tcPr>
            <w:tcW w:w="851" w:type="dxa"/>
            <w:tcBorders>
              <w:top w:val="nil"/>
              <w:left w:val="nil"/>
              <w:bottom w:val="single" w:sz="4" w:space="0" w:color="auto"/>
              <w:right w:val="single" w:sz="4" w:space="0" w:color="auto"/>
            </w:tcBorders>
            <w:vAlign w:val="center"/>
            <w:hideMark/>
          </w:tcPr>
          <w:p w14:paraId="4114F52E"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5C0ECEE9"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3F249B62"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r w:rsidR="00B76D98" w:rsidRPr="00B76D98" w14:paraId="78FA1006" w14:textId="77777777" w:rsidTr="00B76D98">
        <w:trPr>
          <w:trHeight w:val="1209"/>
        </w:trPr>
        <w:tc>
          <w:tcPr>
            <w:tcW w:w="1696" w:type="dxa"/>
            <w:tcBorders>
              <w:top w:val="nil"/>
              <w:left w:val="single" w:sz="4" w:space="0" w:color="auto"/>
              <w:bottom w:val="single" w:sz="4" w:space="0" w:color="auto"/>
              <w:right w:val="single" w:sz="4" w:space="0" w:color="auto"/>
            </w:tcBorders>
            <w:vAlign w:val="center"/>
            <w:hideMark/>
          </w:tcPr>
          <w:p w14:paraId="49705AEC"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t>We are Driven</w:t>
            </w:r>
          </w:p>
        </w:tc>
        <w:tc>
          <w:tcPr>
            <w:tcW w:w="5245" w:type="dxa"/>
            <w:tcBorders>
              <w:top w:val="nil"/>
              <w:left w:val="nil"/>
              <w:bottom w:val="single" w:sz="4" w:space="0" w:color="auto"/>
              <w:right w:val="single" w:sz="4" w:space="0" w:color="auto"/>
            </w:tcBorders>
            <w:vAlign w:val="center"/>
            <w:hideMark/>
          </w:tcPr>
          <w:p w14:paraId="765CE287" w14:textId="797909EE" w:rsidR="00B76D98" w:rsidRPr="00B76D98" w:rsidRDefault="005B1A44" w:rsidP="00B76D98">
            <w:pPr>
              <w:spacing w:after="0" w:line="240" w:lineRule="auto"/>
              <w:rPr>
                <w:rFonts w:ascii="Aptos" w:eastAsia="Times New Roman" w:hAnsi="Aptos" w:cs="Times New Roman"/>
                <w:color w:val="000000"/>
                <w:kern w:val="0"/>
                <w:sz w:val="22"/>
                <w:szCs w:val="22"/>
                <w:lang w:eastAsia="en-CA"/>
                <w14:ligatures w14:val="none"/>
              </w:rPr>
            </w:pPr>
            <w:r w:rsidRPr="005B1A44">
              <w:rPr>
                <w:rFonts w:ascii="Aptos" w:eastAsia="Times New Roman" w:hAnsi="Aptos" w:cs="Times New Roman"/>
                <w:color w:val="000000"/>
                <w:kern w:val="0"/>
                <w:sz w:val="22"/>
                <w:szCs w:val="22"/>
                <w:lang w:eastAsia="en-CA"/>
                <w14:ligatures w14:val="none"/>
              </w:rPr>
              <w:t>Does this person maintain process discipline, health monitoring cadences, and documentation standards consistently including the detail-intensive work that makes the operation more reliable over time?</w:t>
            </w:r>
          </w:p>
        </w:tc>
        <w:tc>
          <w:tcPr>
            <w:tcW w:w="851" w:type="dxa"/>
            <w:tcBorders>
              <w:top w:val="nil"/>
              <w:left w:val="nil"/>
              <w:bottom w:val="single" w:sz="4" w:space="0" w:color="auto"/>
              <w:right w:val="single" w:sz="4" w:space="0" w:color="auto"/>
            </w:tcBorders>
            <w:vAlign w:val="center"/>
            <w:hideMark/>
          </w:tcPr>
          <w:p w14:paraId="646B4A3B"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030B9693"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6E9C3069"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r w:rsidR="00B76D98" w:rsidRPr="00B76D98" w14:paraId="53260633" w14:textId="77777777" w:rsidTr="00B76D98">
        <w:trPr>
          <w:trHeight w:val="1209"/>
        </w:trPr>
        <w:tc>
          <w:tcPr>
            <w:tcW w:w="1696" w:type="dxa"/>
            <w:tcBorders>
              <w:top w:val="nil"/>
              <w:left w:val="single" w:sz="4" w:space="0" w:color="auto"/>
              <w:bottom w:val="single" w:sz="4" w:space="0" w:color="auto"/>
              <w:right w:val="single" w:sz="4" w:space="0" w:color="auto"/>
            </w:tcBorders>
            <w:vAlign w:val="center"/>
            <w:hideMark/>
          </w:tcPr>
          <w:p w14:paraId="2C45ABE5"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t>We are Nimble</w:t>
            </w:r>
          </w:p>
        </w:tc>
        <w:tc>
          <w:tcPr>
            <w:tcW w:w="5245" w:type="dxa"/>
            <w:tcBorders>
              <w:top w:val="nil"/>
              <w:left w:val="nil"/>
              <w:bottom w:val="single" w:sz="4" w:space="0" w:color="auto"/>
              <w:right w:val="single" w:sz="4" w:space="0" w:color="auto"/>
            </w:tcBorders>
            <w:vAlign w:val="center"/>
            <w:hideMark/>
          </w:tcPr>
          <w:p w14:paraId="07E03175" w14:textId="40654481" w:rsidR="00B76D98" w:rsidRPr="00B76D98" w:rsidRDefault="005B1A44" w:rsidP="00B76D98">
            <w:pPr>
              <w:spacing w:after="0" w:line="240" w:lineRule="auto"/>
              <w:rPr>
                <w:rFonts w:ascii="Aptos" w:eastAsia="Times New Roman" w:hAnsi="Aptos" w:cs="Times New Roman"/>
                <w:color w:val="000000"/>
                <w:kern w:val="0"/>
                <w:sz w:val="22"/>
                <w:szCs w:val="22"/>
                <w:lang w:eastAsia="en-CA"/>
                <w14:ligatures w14:val="none"/>
              </w:rPr>
            </w:pPr>
            <w:r w:rsidRPr="005B1A44">
              <w:rPr>
                <w:rFonts w:ascii="Aptos" w:eastAsia="Times New Roman" w:hAnsi="Aptos" w:cs="Times New Roman"/>
                <w:color w:val="000000"/>
                <w:kern w:val="0"/>
                <w:sz w:val="22"/>
                <w:szCs w:val="22"/>
                <w:lang w:eastAsia="en-CA"/>
                <w14:ligatures w14:val="none"/>
              </w:rPr>
              <w:t>Does this person adjust capacity and workflow priorities quickly in response to demand spikes and launch pressures without sacrificing quality standards or customer success commitments?</w:t>
            </w:r>
          </w:p>
        </w:tc>
        <w:tc>
          <w:tcPr>
            <w:tcW w:w="851" w:type="dxa"/>
            <w:tcBorders>
              <w:top w:val="nil"/>
              <w:left w:val="nil"/>
              <w:bottom w:val="single" w:sz="4" w:space="0" w:color="auto"/>
              <w:right w:val="single" w:sz="4" w:space="0" w:color="auto"/>
            </w:tcBorders>
            <w:vAlign w:val="center"/>
            <w:hideMark/>
          </w:tcPr>
          <w:p w14:paraId="3ED610FF"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3556E905"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62362B3F"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r w:rsidR="00B76D98" w:rsidRPr="00B76D98" w14:paraId="7429864E" w14:textId="77777777" w:rsidTr="00B76D98">
        <w:trPr>
          <w:trHeight w:val="1209"/>
        </w:trPr>
        <w:tc>
          <w:tcPr>
            <w:tcW w:w="1696" w:type="dxa"/>
            <w:tcBorders>
              <w:top w:val="nil"/>
              <w:left w:val="single" w:sz="4" w:space="0" w:color="auto"/>
              <w:bottom w:val="single" w:sz="4" w:space="0" w:color="auto"/>
              <w:right w:val="single" w:sz="4" w:space="0" w:color="auto"/>
            </w:tcBorders>
            <w:vAlign w:val="center"/>
            <w:hideMark/>
          </w:tcPr>
          <w:p w14:paraId="74C8A518"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t>We are Relationship-focused</w:t>
            </w:r>
          </w:p>
        </w:tc>
        <w:tc>
          <w:tcPr>
            <w:tcW w:w="5245" w:type="dxa"/>
            <w:tcBorders>
              <w:top w:val="nil"/>
              <w:left w:val="nil"/>
              <w:bottom w:val="single" w:sz="4" w:space="0" w:color="auto"/>
              <w:right w:val="single" w:sz="4" w:space="0" w:color="auto"/>
            </w:tcBorders>
            <w:vAlign w:val="center"/>
            <w:hideMark/>
          </w:tcPr>
          <w:p w14:paraId="5072905D" w14:textId="39A27B0D" w:rsidR="00B76D98" w:rsidRPr="00B76D98" w:rsidRDefault="005B1A44" w:rsidP="00B76D98">
            <w:pPr>
              <w:spacing w:after="0" w:line="240" w:lineRule="auto"/>
              <w:rPr>
                <w:rFonts w:ascii="Aptos" w:eastAsia="Times New Roman" w:hAnsi="Aptos" w:cs="Times New Roman"/>
                <w:color w:val="000000"/>
                <w:kern w:val="0"/>
                <w:sz w:val="22"/>
                <w:szCs w:val="22"/>
                <w:lang w:eastAsia="en-CA"/>
                <w14:ligatures w14:val="none"/>
              </w:rPr>
            </w:pPr>
            <w:r w:rsidRPr="005B1A44">
              <w:rPr>
                <w:rFonts w:ascii="Aptos" w:eastAsia="Times New Roman" w:hAnsi="Aptos" w:cs="Times New Roman"/>
                <w:color w:val="000000"/>
                <w:kern w:val="0"/>
                <w:sz w:val="22"/>
                <w:szCs w:val="22"/>
                <w:lang w:eastAsia="en-CA"/>
                <w14:ligatures w14:val="none"/>
              </w:rPr>
              <w:t>Does this person build collaborative working relationships with Learning Development and Platform &amp; Technology that make launch readiness proactive rather than reactive, and genuine relationships with customers that make renewal and expansion conversations natural rather than transactional?</w:t>
            </w:r>
          </w:p>
        </w:tc>
        <w:tc>
          <w:tcPr>
            <w:tcW w:w="851" w:type="dxa"/>
            <w:tcBorders>
              <w:top w:val="nil"/>
              <w:left w:val="nil"/>
              <w:bottom w:val="single" w:sz="4" w:space="0" w:color="auto"/>
              <w:right w:val="single" w:sz="4" w:space="0" w:color="auto"/>
            </w:tcBorders>
            <w:vAlign w:val="center"/>
            <w:hideMark/>
          </w:tcPr>
          <w:p w14:paraId="5619295C"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1E5485A4"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2B97A88A"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r w:rsidR="00B76D98" w:rsidRPr="00B76D98" w14:paraId="73F82519" w14:textId="77777777" w:rsidTr="00367887">
        <w:trPr>
          <w:trHeight w:val="1204"/>
        </w:trPr>
        <w:tc>
          <w:tcPr>
            <w:tcW w:w="1696" w:type="dxa"/>
            <w:tcBorders>
              <w:top w:val="nil"/>
              <w:left w:val="single" w:sz="4" w:space="0" w:color="auto"/>
              <w:bottom w:val="single" w:sz="4" w:space="0" w:color="auto"/>
              <w:right w:val="single" w:sz="4" w:space="0" w:color="auto"/>
            </w:tcBorders>
            <w:vAlign w:val="center"/>
            <w:hideMark/>
          </w:tcPr>
          <w:p w14:paraId="781245CF"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t>Gets It</w:t>
            </w:r>
          </w:p>
        </w:tc>
        <w:tc>
          <w:tcPr>
            <w:tcW w:w="5245" w:type="dxa"/>
            <w:tcBorders>
              <w:top w:val="nil"/>
              <w:left w:val="nil"/>
              <w:bottom w:val="single" w:sz="4" w:space="0" w:color="auto"/>
              <w:right w:val="single" w:sz="4" w:space="0" w:color="auto"/>
            </w:tcBorders>
            <w:vAlign w:val="center"/>
            <w:hideMark/>
          </w:tcPr>
          <w:p w14:paraId="700D108E" w14:textId="4CE0B611" w:rsidR="00B76D98" w:rsidRPr="00B76D98" w:rsidRDefault="005B1A44" w:rsidP="00B76D98">
            <w:pPr>
              <w:spacing w:after="0" w:line="240" w:lineRule="auto"/>
              <w:rPr>
                <w:rFonts w:ascii="Aptos" w:eastAsia="Times New Roman" w:hAnsi="Aptos" w:cs="Times New Roman"/>
                <w:color w:val="000000"/>
                <w:kern w:val="0"/>
                <w:sz w:val="22"/>
                <w:szCs w:val="22"/>
                <w:lang w:eastAsia="en-CA"/>
                <w14:ligatures w14:val="none"/>
              </w:rPr>
            </w:pPr>
            <w:r w:rsidRPr="005B1A44">
              <w:rPr>
                <w:rFonts w:ascii="Aptos" w:eastAsia="Times New Roman" w:hAnsi="Aptos" w:cs="Times New Roman"/>
                <w:color w:val="000000"/>
                <w:kern w:val="0"/>
                <w:sz w:val="22"/>
                <w:szCs w:val="22"/>
                <w:lang w:eastAsia="en-CA"/>
                <w14:ligatures w14:val="none"/>
              </w:rPr>
              <w:t>Does this person understand that Delivery owns both operational trustworthiness and customer lifecycle outcomes, and that NRR is as much their accountability as SLA compliance?</w:t>
            </w:r>
          </w:p>
        </w:tc>
        <w:tc>
          <w:tcPr>
            <w:tcW w:w="851" w:type="dxa"/>
            <w:tcBorders>
              <w:top w:val="nil"/>
              <w:left w:val="nil"/>
              <w:bottom w:val="single" w:sz="4" w:space="0" w:color="auto"/>
              <w:right w:val="single" w:sz="4" w:space="0" w:color="auto"/>
            </w:tcBorders>
            <w:vAlign w:val="center"/>
            <w:hideMark/>
          </w:tcPr>
          <w:p w14:paraId="40410941"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1A0CCB39"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77DCFD8E"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r w:rsidR="00B76D98" w:rsidRPr="00B76D98" w14:paraId="4607EE27" w14:textId="77777777" w:rsidTr="00B76D98">
        <w:trPr>
          <w:trHeight w:val="1209"/>
        </w:trPr>
        <w:tc>
          <w:tcPr>
            <w:tcW w:w="1696" w:type="dxa"/>
            <w:tcBorders>
              <w:top w:val="nil"/>
              <w:left w:val="single" w:sz="4" w:space="0" w:color="auto"/>
              <w:bottom w:val="single" w:sz="4" w:space="0" w:color="auto"/>
              <w:right w:val="single" w:sz="4" w:space="0" w:color="auto"/>
            </w:tcBorders>
            <w:vAlign w:val="center"/>
            <w:hideMark/>
          </w:tcPr>
          <w:p w14:paraId="11B41B4F"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t>Wants It</w:t>
            </w:r>
          </w:p>
        </w:tc>
        <w:tc>
          <w:tcPr>
            <w:tcW w:w="5245" w:type="dxa"/>
            <w:tcBorders>
              <w:top w:val="nil"/>
              <w:left w:val="nil"/>
              <w:bottom w:val="single" w:sz="4" w:space="0" w:color="auto"/>
              <w:right w:val="single" w:sz="4" w:space="0" w:color="auto"/>
            </w:tcBorders>
            <w:vAlign w:val="center"/>
            <w:hideMark/>
          </w:tcPr>
          <w:p w14:paraId="4588567A" w14:textId="484D81AA" w:rsidR="00B76D98" w:rsidRPr="00B76D98" w:rsidRDefault="00367887" w:rsidP="00B76D98">
            <w:pPr>
              <w:spacing w:after="0" w:line="240" w:lineRule="auto"/>
              <w:rPr>
                <w:rFonts w:ascii="Aptos" w:eastAsia="Times New Roman" w:hAnsi="Aptos" w:cs="Times New Roman"/>
                <w:color w:val="000000"/>
                <w:kern w:val="0"/>
                <w:sz w:val="22"/>
                <w:szCs w:val="22"/>
                <w:lang w:eastAsia="en-CA"/>
                <w14:ligatures w14:val="none"/>
              </w:rPr>
            </w:pPr>
            <w:r w:rsidRPr="00367887">
              <w:rPr>
                <w:rFonts w:ascii="Aptos" w:eastAsia="Times New Roman" w:hAnsi="Aptos" w:cs="Times New Roman"/>
                <w:color w:val="000000"/>
                <w:kern w:val="0"/>
                <w:sz w:val="22"/>
                <w:szCs w:val="22"/>
                <w:lang w:eastAsia="en-CA"/>
                <w14:ligatures w14:val="none"/>
              </w:rPr>
              <w:t>Does this person actively want the process engineering, health monitoring, renewal pipeline management, and SLA discipline work, not just the visible customer escalation moments?</w:t>
            </w:r>
          </w:p>
        </w:tc>
        <w:tc>
          <w:tcPr>
            <w:tcW w:w="851" w:type="dxa"/>
            <w:tcBorders>
              <w:top w:val="nil"/>
              <w:left w:val="nil"/>
              <w:bottom w:val="single" w:sz="4" w:space="0" w:color="auto"/>
              <w:right w:val="single" w:sz="4" w:space="0" w:color="auto"/>
            </w:tcBorders>
            <w:vAlign w:val="center"/>
            <w:hideMark/>
          </w:tcPr>
          <w:p w14:paraId="1A6A69AE"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7F64E623"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5CDDDA2E"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r w:rsidR="00B76D98" w:rsidRPr="00B76D98" w14:paraId="68B51112" w14:textId="77777777" w:rsidTr="00367887">
        <w:trPr>
          <w:trHeight w:val="1309"/>
        </w:trPr>
        <w:tc>
          <w:tcPr>
            <w:tcW w:w="1696" w:type="dxa"/>
            <w:tcBorders>
              <w:top w:val="nil"/>
              <w:left w:val="single" w:sz="4" w:space="0" w:color="auto"/>
              <w:bottom w:val="single" w:sz="4" w:space="0" w:color="auto"/>
              <w:right w:val="single" w:sz="4" w:space="0" w:color="auto"/>
            </w:tcBorders>
            <w:vAlign w:val="center"/>
            <w:hideMark/>
          </w:tcPr>
          <w:p w14:paraId="39482709" w14:textId="77777777" w:rsidR="00B76D98" w:rsidRPr="00B76D98" w:rsidRDefault="00B76D98" w:rsidP="00B76D98">
            <w:pPr>
              <w:spacing w:after="0" w:line="240" w:lineRule="auto"/>
              <w:rPr>
                <w:rFonts w:ascii="Aptos" w:eastAsia="Times New Roman" w:hAnsi="Aptos" w:cs="Times New Roman"/>
                <w:color w:val="000000"/>
                <w:kern w:val="0"/>
                <w:sz w:val="22"/>
                <w:szCs w:val="22"/>
                <w:lang w:eastAsia="en-CA"/>
                <w14:ligatures w14:val="none"/>
              </w:rPr>
            </w:pPr>
            <w:r w:rsidRPr="00B76D98">
              <w:rPr>
                <w:rFonts w:ascii="Aptos" w:eastAsia="Times New Roman" w:hAnsi="Aptos" w:cs="Times New Roman"/>
                <w:color w:val="000000"/>
                <w:kern w:val="0"/>
                <w:sz w:val="22"/>
                <w:szCs w:val="22"/>
                <w:lang w:eastAsia="en-CA"/>
                <w14:ligatures w14:val="none"/>
              </w:rPr>
              <w:t>Capacity to Do It</w:t>
            </w:r>
          </w:p>
        </w:tc>
        <w:tc>
          <w:tcPr>
            <w:tcW w:w="5245" w:type="dxa"/>
            <w:tcBorders>
              <w:top w:val="nil"/>
              <w:left w:val="nil"/>
              <w:bottom w:val="single" w:sz="4" w:space="0" w:color="auto"/>
              <w:right w:val="single" w:sz="4" w:space="0" w:color="auto"/>
            </w:tcBorders>
            <w:vAlign w:val="center"/>
            <w:hideMark/>
          </w:tcPr>
          <w:p w14:paraId="200E4815" w14:textId="09571C3B" w:rsidR="00B76D98" w:rsidRPr="00B76D98" w:rsidRDefault="00367887" w:rsidP="00B76D98">
            <w:pPr>
              <w:spacing w:after="0" w:line="240" w:lineRule="auto"/>
              <w:rPr>
                <w:rFonts w:ascii="Aptos" w:eastAsia="Times New Roman" w:hAnsi="Aptos" w:cs="Times New Roman"/>
                <w:color w:val="000000"/>
                <w:kern w:val="0"/>
                <w:sz w:val="22"/>
                <w:szCs w:val="22"/>
                <w:lang w:eastAsia="en-CA"/>
                <w14:ligatures w14:val="none"/>
              </w:rPr>
            </w:pPr>
            <w:r w:rsidRPr="00367887">
              <w:rPr>
                <w:rFonts w:ascii="Aptos" w:eastAsia="Times New Roman" w:hAnsi="Aptos" w:cs="Times New Roman"/>
                <w:color w:val="000000"/>
                <w:kern w:val="0"/>
                <w:sz w:val="22"/>
                <w:szCs w:val="22"/>
                <w:lang w:eastAsia="en-CA"/>
                <w14:ligatures w14:val="none"/>
              </w:rPr>
              <w:t>Does this person have the operational depth, customer success range, and systems-building discipline to hold a multi-stream delivery function through WKT's current and coming growth trajectory?</w:t>
            </w:r>
          </w:p>
        </w:tc>
        <w:tc>
          <w:tcPr>
            <w:tcW w:w="851" w:type="dxa"/>
            <w:tcBorders>
              <w:top w:val="nil"/>
              <w:left w:val="nil"/>
              <w:bottom w:val="single" w:sz="4" w:space="0" w:color="auto"/>
              <w:right w:val="single" w:sz="4" w:space="0" w:color="auto"/>
            </w:tcBorders>
            <w:vAlign w:val="center"/>
            <w:hideMark/>
          </w:tcPr>
          <w:p w14:paraId="5EF00FDD"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847" w:type="dxa"/>
            <w:tcBorders>
              <w:top w:val="nil"/>
              <w:left w:val="nil"/>
              <w:bottom w:val="single" w:sz="4" w:space="0" w:color="auto"/>
              <w:right w:val="single" w:sz="4" w:space="0" w:color="auto"/>
            </w:tcBorders>
            <w:vAlign w:val="center"/>
            <w:hideMark/>
          </w:tcPr>
          <w:p w14:paraId="3A9D8101"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c>
          <w:tcPr>
            <w:tcW w:w="788" w:type="dxa"/>
            <w:tcBorders>
              <w:top w:val="nil"/>
              <w:left w:val="nil"/>
              <w:bottom w:val="single" w:sz="4" w:space="0" w:color="auto"/>
              <w:right w:val="single" w:sz="4" w:space="0" w:color="auto"/>
            </w:tcBorders>
            <w:vAlign w:val="center"/>
            <w:hideMark/>
          </w:tcPr>
          <w:p w14:paraId="476AD689" w14:textId="77777777" w:rsidR="00B76D98" w:rsidRPr="00B76D98" w:rsidRDefault="00B76D98" w:rsidP="00B76D98">
            <w:pPr>
              <w:spacing w:after="0" w:line="240" w:lineRule="auto"/>
              <w:jc w:val="center"/>
              <w:rPr>
                <w:rFonts w:ascii="Aptos" w:eastAsia="Times New Roman" w:hAnsi="Aptos" w:cs="Times New Roman"/>
                <w:color w:val="000000"/>
                <w:kern w:val="0"/>
                <w:lang w:eastAsia="en-CA"/>
                <w14:ligatures w14:val="none"/>
              </w:rPr>
            </w:pPr>
            <w:r w:rsidRPr="00B76D98">
              <w:rPr>
                <w:rFonts w:ascii="Aptos" w:eastAsia="Times New Roman" w:hAnsi="Aptos" w:cs="Times New Roman"/>
                <w:color w:val="000000"/>
                <w:kern w:val="0"/>
                <w:lang w:eastAsia="en-CA"/>
                <w14:ligatures w14:val="none"/>
              </w:rPr>
              <w:t> </w:t>
            </w:r>
          </w:p>
        </w:tc>
      </w:tr>
    </w:tbl>
    <w:p w14:paraId="4519F936" w14:textId="1B69BE5C" w:rsidR="005A76C0" w:rsidRPr="005A76C0" w:rsidRDefault="005A76C0" w:rsidP="005A76C0">
      <w:pPr>
        <w:spacing w:before="120" w:after="120" w:line="276" w:lineRule="auto"/>
        <w:rPr>
          <w:sz w:val="22"/>
          <w:szCs w:val="22"/>
        </w:rPr>
      </w:pPr>
    </w:p>
    <w:p w14:paraId="107A7512" w14:textId="77777777" w:rsidR="005A76C0" w:rsidRPr="005A76C0" w:rsidRDefault="005A76C0" w:rsidP="00B73431">
      <w:pPr>
        <w:pStyle w:val="Heading2"/>
      </w:pPr>
      <w:r w:rsidRPr="005A76C0">
        <w:t>Quarterly Conversation Notes</w:t>
      </w:r>
    </w:p>
    <w:tbl>
      <w:tblPr>
        <w:tblW w:w="9388" w:type="dxa"/>
        <w:tblLook w:val="04A0" w:firstRow="1" w:lastRow="0" w:firstColumn="1" w:lastColumn="0" w:noHBand="0" w:noVBand="1"/>
      </w:tblPr>
      <w:tblGrid>
        <w:gridCol w:w="1103"/>
        <w:gridCol w:w="4078"/>
        <w:gridCol w:w="2097"/>
        <w:gridCol w:w="2110"/>
      </w:tblGrid>
      <w:tr w:rsidR="00B73431" w:rsidRPr="00084CED" w14:paraId="17B3EFE2" w14:textId="77777777" w:rsidTr="008606DF">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04BC31DD" w14:textId="77777777" w:rsidR="00B73431" w:rsidRPr="00084CED" w:rsidRDefault="00B73431"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42D1AB80" w14:textId="77777777" w:rsidR="00B73431" w:rsidRPr="00084CED" w:rsidRDefault="00B73431"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00AD1A88" w14:textId="77777777" w:rsidR="00B73431" w:rsidRPr="00084CED" w:rsidRDefault="00B73431"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0BDF7C65" w14:textId="77777777" w:rsidR="00B73431" w:rsidRPr="00084CED" w:rsidRDefault="00B73431"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B73431" w:rsidRPr="00084CED" w14:paraId="7EE416C6"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6D067120"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2B2ECDC7"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3D9911CD"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344CBC64"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B73431" w:rsidRPr="00084CED" w14:paraId="0DC21171"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0F4AB0F4"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F734068"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437A9F5C"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5240747F"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B73431" w:rsidRPr="00084CED" w14:paraId="65691222" w14:textId="77777777" w:rsidTr="008606DF">
        <w:trPr>
          <w:trHeight w:val="452"/>
        </w:trPr>
        <w:tc>
          <w:tcPr>
            <w:tcW w:w="1103" w:type="dxa"/>
            <w:tcBorders>
              <w:top w:val="nil"/>
              <w:left w:val="single" w:sz="8" w:space="0" w:color="auto"/>
              <w:bottom w:val="single" w:sz="8" w:space="0" w:color="auto"/>
              <w:right w:val="single" w:sz="8" w:space="0" w:color="auto"/>
            </w:tcBorders>
            <w:vAlign w:val="center"/>
          </w:tcPr>
          <w:p w14:paraId="6923E5B4"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21301970"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4D4C9881"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0E837D42"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p>
        </w:tc>
      </w:tr>
      <w:tr w:rsidR="00B73431" w:rsidRPr="00084CED" w14:paraId="5D043E50"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0AE9954C"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E112A26"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338ACDB8"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6F02E47B" w14:textId="77777777" w:rsidR="00B73431" w:rsidRPr="00084CED" w:rsidRDefault="00B73431"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467870F7" w14:textId="51E6223C" w:rsidR="005A76C0" w:rsidRPr="005A76C0" w:rsidRDefault="005A76C0" w:rsidP="005A76C0">
      <w:pPr>
        <w:spacing w:before="120" w:after="120" w:line="276" w:lineRule="auto"/>
        <w:rPr>
          <w:sz w:val="22"/>
          <w:szCs w:val="22"/>
        </w:rPr>
      </w:pPr>
    </w:p>
    <w:p w14:paraId="1592881A" w14:textId="77777777" w:rsidR="005A76C0" w:rsidRPr="005A76C0" w:rsidRDefault="005A76C0" w:rsidP="00B73431">
      <w:pPr>
        <w:pStyle w:val="Heading2"/>
      </w:pPr>
      <w:r w:rsidRPr="005A76C0">
        <w:lastRenderedPageBreak/>
        <w:t>Role Optimization</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6111"/>
        <w:gridCol w:w="1629"/>
        <w:gridCol w:w="1194"/>
      </w:tblGrid>
      <w:tr w:rsidR="005A76C0" w:rsidRPr="005A76C0" w14:paraId="1C133763" w14:textId="77777777" w:rsidTr="00B76D98">
        <w:trPr>
          <w:tblHeader/>
          <w:tblCellSpacing w:w="15" w:type="dxa"/>
        </w:trPr>
        <w:tc>
          <w:tcPr>
            <w:tcW w:w="381" w:type="dxa"/>
            <w:vAlign w:val="center"/>
            <w:hideMark/>
          </w:tcPr>
          <w:p w14:paraId="317C1527" w14:textId="77777777" w:rsidR="005A76C0" w:rsidRPr="005A76C0" w:rsidRDefault="005A76C0" w:rsidP="005A76C0">
            <w:pPr>
              <w:spacing w:before="120" w:after="120" w:line="276" w:lineRule="auto"/>
              <w:rPr>
                <w:b/>
                <w:bCs/>
                <w:sz w:val="22"/>
                <w:szCs w:val="22"/>
              </w:rPr>
            </w:pPr>
            <w:r w:rsidRPr="005A76C0">
              <w:rPr>
                <w:b/>
                <w:bCs/>
                <w:sz w:val="22"/>
                <w:szCs w:val="22"/>
              </w:rPr>
              <w:t>#</w:t>
            </w:r>
          </w:p>
        </w:tc>
        <w:tc>
          <w:tcPr>
            <w:tcW w:w="6081" w:type="dxa"/>
            <w:vAlign w:val="center"/>
            <w:hideMark/>
          </w:tcPr>
          <w:p w14:paraId="00444C7E" w14:textId="77777777" w:rsidR="005A76C0" w:rsidRPr="005A76C0" w:rsidRDefault="005A76C0" w:rsidP="005A76C0">
            <w:pPr>
              <w:spacing w:before="120" w:after="120" w:line="276" w:lineRule="auto"/>
              <w:rPr>
                <w:b/>
                <w:bCs/>
                <w:sz w:val="22"/>
                <w:szCs w:val="22"/>
              </w:rPr>
            </w:pPr>
            <w:r w:rsidRPr="005A76C0">
              <w:rPr>
                <w:b/>
                <w:bCs/>
                <w:sz w:val="22"/>
                <w:szCs w:val="22"/>
              </w:rPr>
              <w:t>Task</w:t>
            </w:r>
          </w:p>
        </w:tc>
        <w:tc>
          <w:tcPr>
            <w:tcW w:w="0" w:type="auto"/>
            <w:vAlign w:val="center"/>
            <w:hideMark/>
          </w:tcPr>
          <w:p w14:paraId="573730A6" w14:textId="77777777" w:rsidR="005A76C0" w:rsidRPr="005A76C0" w:rsidRDefault="005A76C0" w:rsidP="005A76C0">
            <w:pPr>
              <w:spacing w:before="120" w:after="120" w:line="276" w:lineRule="auto"/>
              <w:rPr>
                <w:b/>
                <w:bCs/>
                <w:sz w:val="22"/>
                <w:szCs w:val="22"/>
              </w:rPr>
            </w:pPr>
            <w:r w:rsidRPr="005A76C0">
              <w:rPr>
                <w:b/>
                <w:bCs/>
                <w:sz w:val="22"/>
                <w:szCs w:val="22"/>
              </w:rPr>
              <w:t>Frequency</w:t>
            </w:r>
          </w:p>
        </w:tc>
        <w:tc>
          <w:tcPr>
            <w:tcW w:w="0" w:type="auto"/>
            <w:vAlign w:val="center"/>
            <w:hideMark/>
          </w:tcPr>
          <w:p w14:paraId="7B5236F4" w14:textId="77777777" w:rsidR="005A76C0" w:rsidRPr="005A76C0" w:rsidRDefault="005A76C0" w:rsidP="005A76C0">
            <w:pPr>
              <w:spacing w:before="120" w:after="120" w:line="276" w:lineRule="auto"/>
              <w:rPr>
                <w:b/>
                <w:bCs/>
                <w:sz w:val="22"/>
                <w:szCs w:val="22"/>
              </w:rPr>
            </w:pPr>
            <w:r w:rsidRPr="005A76C0">
              <w:rPr>
                <w:b/>
                <w:bCs/>
                <w:sz w:val="22"/>
                <w:szCs w:val="22"/>
              </w:rPr>
              <w:t>Delegable?</w:t>
            </w:r>
          </w:p>
        </w:tc>
      </w:tr>
      <w:tr w:rsidR="008A55AC" w:rsidRPr="005A76C0" w14:paraId="647F95AD" w14:textId="77777777" w:rsidTr="00B76D98">
        <w:trPr>
          <w:tblCellSpacing w:w="15" w:type="dxa"/>
        </w:trPr>
        <w:tc>
          <w:tcPr>
            <w:tcW w:w="381" w:type="dxa"/>
            <w:vAlign w:val="center"/>
            <w:hideMark/>
          </w:tcPr>
          <w:p w14:paraId="28409779" w14:textId="33307831" w:rsidR="008A55AC" w:rsidRPr="008A55AC" w:rsidRDefault="008A55AC" w:rsidP="008A55AC">
            <w:pPr>
              <w:rPr>
                <w:sz w:val="22"/>
                <w:szCs w:val="22"/>
              </w:rPr>
            </w:pPr>
            <w:r w:rsidRPr="008A55AC">
              <w:rPr>
                <w:sz w:val="22"/>
                <w:szCs w:val="22"/>
              </w:rPr>
              <w:t>1</w:t>
            </w:r>
          </w:p>
        </w:tc>
        <w:tc>
          <w:tcPr>
            <w:tcW w:w="6081" w:type="dxa"/>
            <w:vAlign w:val="center"/>
            <w:hideMark/>
          </w:tcPr>
          <w:p w14:paraId="50FFD3E0" w14:textId="6F3FAE97" w:rsidR="008A55AC" w:rsidRPr="008A55AC" w:rsidRDefault="008A55AC" w:rsidP="008A55AC">
            <w:pPr>
              <w:rPr>
                <w:sz w:val="22"/>
                <w:szCs w:val="22"/>
              </w:rPr>
            </w:pPr>
            <w:r w:rsidRPr="008A55AC">
              <w:rPr>
                <w:sz w:val="22"/>
                <w:szCs w:val="22"/>
              </w:rPr>
              <w:t>Review customer support SLA metrics and ticket resolution trends</w:t>
            </w:r>
          </w:p>
        </w:tc>
        <w:tc>
          <w:tcPr>
            <w:tcW w:w="0" w:type="auto"/>
            <w:vAlign w:val="center"/>
            <w:hideMark/>
          </w:tcPr>
          <w:p w14:paraId="017006D4" w14:textId="6A9C42D3" w:rsidR="008A55AC" w:rsidRPr="008A55AC" w:rsidRDefault="008A55AC" w:rsidP="008A55AC">
            <w:pPr>
              <w:rPr>
                <w:sz w:val="22"/>
                <w:szCs w:val="22"/>
              </w:rPr>
            </w:pPr>
            <w:r w:rsidRPr="008A55AC">
              <w:rPr>
                <w:sz w:val="22"/>
                <w:szCs w:val="22"/>
              </w:rPr>
              <w:t>Weekly</w:t>
            </w:r>
          </w:p>
        </w:tc>
        <w:tc>
          <w:tcPr>
            <w:tcW w:w="0" w:type="auto"/>
            <w:vAlign w:val="center"/>
            <w:hideMark/>
          </w:tcPr>
          <w:p w14:paraId="41C2AD4F" w14:textId="65F980FE" w:rsidR="008A55AC" w:rsidRPr="008A55AC" w:rsidRDefault="008A55AC" w:rsidP="008A55AC">
            <w:pPr>
              <w:rPr>
                <w:sz w:val="22"/>
                <w:szCs w:val="22"/>
              </w:rPr>
            </w:pPr>
            <w:r w:rsidRPr="008A55AC">
              <w:rPr>
                <w:sz w:val="22"/>
                <w:szCs w:val="22"/>
              </w:rPr>
              <w:t>Partially</w:t>
            </w:r>
          </w:p>
        </w:tc>
      </w:tr>
      <w:tr w:rsidR="008A55AC" w:rsidRPr="005A76C0" w14:paraId="5D12BB86" w14:textId="77777777" w:rsidTr="00B76D98">
        <w:trPr>
          <w:tblCellSpacing w:w="15" w:type="dxa"/>
        </w:trPr>
        <w:tc>
          <w:tcPr>
            <w:tcW w:w="381" w:type="dxa"/>
            <w:vAlign w:val="center"/>
            <w:hideMark/>
          </w:tcPr>
          <w:p w14:paraId="0D9DFB52" w14:textId="51BCD4AB" w:rsidR="008A55AC" w:rsidRPr="008A55AC" w:rsidRDefault="008A55AC" w:rsidP="008A55AC">
            <w:pPr>
              <w:rPr>
                <w:sz w:val="22"/>
                <w:szCs w:val="22"/>
              </w:rPr>
            </w:pPr>
            <w:r w:rsidRPr="008A55AC">
              <w:rPr>
                <w:sz w:val="22"/>
                <w:szCs w:val="22"/>
              </w:rPr>
              <w:t>2</w:t>
            </w:r>
          </w:p>
        </w:tc>
        <w:tc>
          <w:tcPr>
            <w:tcW w:w="6081" w:type="dxa"/>
            <w:vAlign w:val="center"/>
            <w:hideMark/>
          </w:tcPr>
          <w:p w14:paraId="00BF3ABB" w14:textId="726BFB11" w:rsidR="008A55AC" w:rsidRPr="008A55AC" w:rsidRDefault="008A55AC" w:rsidP="008A55AC">
            <w:pPr>
              <w:rPr>
                <w:sz w:val="22"/>
                <w:szCs w:val="22"/>
              </w:rPr>
            </w:pPr>
            <w:r w:rsidRPr="008A55AC">
              <w:rPr>
                <w:sz w:val="22"/>
                <w:szCs w:val="22"/>
              </w:rPr>
              <w:t>Report delivery and customer success performance at leadership L10</w:t>
            </w:r>
          </w:p>
        </w:tc>
        <w:tc>
          <w:tcPr>
            <w:tcW w:w="0" w:type="auto"/>
            <w:vAlign w:val="center"/>
            <w:hideMark/>
          </w:tcPr>
          <w:p w14:paraId="433CC56A" w14:textId="12330EE7" w:rsidR="008A55AC" w:rsidRPr="008A55AC" w:rsidRDefault="008A55AC" w:rsidP="008A55AC">
            <w:pPr>
              <w:rPr>
                <w:sz w:val="22"/>
                <w:szCs w:val="22"/>
              </w:rPr>
            </w:pPr>
            <w:r w:rsidRPr="008A55AC">
              <w:rPr>
                <w:sz w:val="22"/>
                <w:szCs w:val="22"/>
              </w:rPr>
              <w:t>Weekly</w:t>
            </w:r>
          </w:p>
        </w:tc>
        <w:tc>
          <w:tcPr>
            <w:tcW w:w="0" w:type="auto"/>
            <w:vAlign w:val="center"/>
            <w:hideMark/>
          </w:tcPr>
          <w:p w14:paraId="0D6E572B" w14:textId="70312EAD" w:rsidR="008A55AC" w:rsidRPr="008A55AC" w:rsidRDefault="008A55AC" w:rsidP="008A55AC">
            <w:pPr>
              <w:rPr>
                <w:sz w:val="22"/>
                <w:szCs w:val="22"/>
              </w:rPr>
            </w:pPr>
            <w:r w:rsidRPr="008A55AC">
              <w:rPr>
                <w:sz w:val="22"/>
                <w:szCs w:val="22"/>
              </w:rPr>
              <w:t>No</w:t>
            </w:r>
          </w:p>
        </w:tc>
      </w:tr>
      <w:tr w:rsidR="008A55AC" w:rsidRPr="005A76C0" w14:paraId="766A36DA" w14:textId="77777777" w:rsidTr="00B76D98">
        <w:trPr>
          <w:tblCellSpacing w:w="15" w:type="dxa"/>
        </w:trPr>
        <w:tc>
          <w:tcPr>
            <w:tcW w:w="381" w:type="dxa"/>
            <w:vAlign w:val="center"/>
            <w:hideMark/>
          </w:tcPr>
          <w:p w14:paraId="32B0F8A5" w14:textId="77B492E0" w:rsidR="008A55AC" w:rsidRPr="008A55AC" w:rsidRDefault="008A55AC" w:rsidP="008A55AC">
            <w:pPr>
              <w:rPr>
                <w:sz w:val="22"/>
                <w:szCs w:val="22"/>
              </w:rPr>
            </w:pPr>
            <w:r w:rsidRPr="008A55AC">
              <w:rPr>
                <w:sz w:val="22"/>
                <w:szCs w:val="22"/>
              </w:rPr>
              <w:t>3</w:t>
            </w:r>
          </w:p>
        </w:tc>
        <w:tc>
          <w:tcPr>
            <w:tcW w:w="6081" w:type="dxa"/>
            <w:vAlign w:val="center"/>
            <w:hideMark/>
          </w:tcPr>
          <w:p w14:paraId="4A3F9A2C" w14:textId="2007645F" w:rsidR="008A55AC" w:rsidRPr="008A55AC" w:rsidRDefault="008A55AC" w:rsidP="008A55AC">
            <w:pPr>
              <w:rPr>
                <w:sz w:val="22"/>
                <w:szCs w:val="22"/>
              </w:rPr>
            </w:pPr>
            <w:r w:rsidRPr="008A55AC">
              <w:rPr>
                <w:sz w:val="22"/>
                <w:szCs w:val="22"/>
              </w:rPr>
              <w:t>Review fulfillment accuracy and provisioning error reports</w:t>
            </w:r>
          </w:p>
        </w:tc>
        <w:tc>
          <w:tcPr>
            <w:tcW w:w="0" w:type="auto"/>
            <w:vAlign w:val="center"/>
            <w:hideMark/>
          </w:tcPr>
          <w:p w14:paraId="050A67B9" w14:textId="2F10794B" w:rsidR="008A55AC" w:rsidRPr="008A55AC" w:rsidRDefault="008A55AC" w:rsidP="008A55AC">
            <w:pPr>
              <w:rPr>
                <w:sz w:val="22"/>
                <w:szCs w:val="22"/>
              </w:rPr>
            </w:pPr>
            <w:r w:rsidRPr="008A55AC">
              <w:rPr>
                <w:sz w:val="22"/>
                <w:szCs w:val="22"/>
              </w:rPr>
              <w:t>Weekly</w:t>
            </w:r>
          </w:p>
        </w:tc>
        <w:tc>
          <w:tcPr>
            <w:tcW w:w="0" w:type="auto"/>
            <w:vAlign w:val="center"/>
            <w:hideMark/>
          </w:tcPr>
          <w:p w14:paraId="7B39E099" w14:textId="670C015D" w:rsidR="008A55AC" w:rsidRPr="008A55AC" w:rsidRDefault="008A55AC" w:rsidP="008A55AC">
            <w:pPr>
              <w:rPr>
                <w:sz w:val="22"/>
                <w:szCs w:val="22"/>
              </w:rPr>
            </w:pPr>
            <w:r w:rsidRPr="008A55AC">
              <w:rPr>
                <w:sz w:val="22"/>
                <w:szCs w:val="22"/>
              </w:rPr>
              <w:t>Partially</w:t>
            </w:r>
          </w:p>
        </w:tc>
      </w:tr>
      <w:tr w:rsidR="008A55AC" w:rsidRPr="005A76C0" w14:paraId="7634C249" w14:textId="77777777" w:rsidTr="00B76D98">
        <w:trPr>
          <w:tblCellSpacing w:w="15" w:type="dxa"/>
        </w:trPr>
        <w:tc>
          <w:tcPr>
            <w:tcW w:w="381" w:type="dxa"/>
            <w:vAlign w:val="center"/>
            <w:hideMark/>
          </w:tcPr>
          <w:p w14:paraId="63C75157" w14:textId="776E79C7" w:rsidR="008A55AC" w:rsidRPr="008A55AC" w:rsidRDefault="008A55AC" w:rsidP="008A55AC">
            <w:pPr>
              <w:rPr>
                <w:sz w:val="22"/>
                <w:szCs w:val="22"/>
              </w:rPr>
            </w:pPr>
            <w:r w:rsidRPr="008A55AC">
              <w:rPr>
                <w:sz w:val="22"/>
                <w:szCs w:val="22"/>
              </w:rPr>
              <w:t>4</w:t>
            </w:r>
          </w:p>
        </w:tc>
        <w:tc>
          <w:tcPr>
            <w:tcW w:w="6081" w:type="dxa"/>
            <w:vAlign w:val="center"/>
            <w:hideMark/>
          </w:tcPr>
          <w:p w14:paraId="70885217" w14:textId="6FDB1118" w:rsidR="008A55AC" w:rsidRPr="008A55AC" w:rsidRDefault="008A55AC" w:rsidP="008A55AC">
            <w:pPr>
              <w:rPr>
                <w:sz w:val="22"/>
                <w:szCs w:val="22"/>
              </w:rPr>
            </w:pPr>
            <w:r w:rsidRPr="008A55AC">
              <w:rPr>
                <w:sz w:val="22"/>
                <w:szCs w:val="22"/>
              </w:rPr>
              <w:t>Review customer health scores and flag at-risk accounts for intervention</w:t>
            </w:r>
          </w:p>
        </w:tc>
        <w:tc>
          <w:tcPr>
            <w:tcW w:w="0" w:type="auto"/>
            <w:vAlign w:val="center"/>
            <w:hideMark/>
          </w:tcPr>
          <w:p w14:paraId="38C2343E" w14:textId="1FB195F8" w:rsidR="008A55AC" w:rsidRPr="008A55AC" w:rsidRDefault="008A55AC" w:rsidP="008A55AC">
            <w:pPr>
              <w:rPr>
                <w:sz w:val="22"/>
                <w:szCs w:val="22"/>
              </w:rPr>
            </w:pPr>
            <w:r w:rsidRPr="008A55AC">
              <w:rPr>
                <w:sz w:val="22"/>
                <w:szCs w:val="22"/>
              </w:rPr>
              <w:t>Weekly</w:t>
            </w:r>
          </w:p>
        </w:tc>
        <w:tc>
          <w:tcPr>
            <w:tcW w:w="0" w:type="auto"/>
            <w:vAlign w:val="center"/>
            <w:hideMark/>
          </w:tcPr>
          <w:p w14:paraId="0D5AF9FB" w14:textId="0F9BE940" w:rsidR="008A55AC" w:rsidRPr="008A55AC" w:rsidRDefault="008A55AC" w:rsidP="008A55AC">
            <w:pPr>
              <w:rPr>
                <w:sz w:val="22"/>
                <w:szCs w:val="22"/>
              </w:rPr>
            </w:pPr>
            <w:r w:rsidRPr="008A55AC">
              <w:rPr>
                <w:sz w:val="22"/>
                <w:szCs w:val="22"/>
              </w:rPr>
              <w:t>Partially</w:t>
            </w:r>
          </w:p>
        </w:tc>
      </w:tr>
      <w:tr w:rsidR="008A55AC" w:rsidRPr="005A76C0" w14:paraId="188F9BE1" w14:textId="77777777" w:rsidTr="00B76D98">
        <w:trPr>
          <w:tblCellSpacing w:w="15" w:type="dxa"/>
        </w:trPr>
        <w:tc>
          <w:tcPr>
            <w:tcW w:w="381" w:type="dxa"/>
            <w:vAlign w:val="center"/>
            <w:hideMark/>
          </w:tcPr>
          <w:p w14:paraId="610E5BE2" w14:textId="77EE1EBC" w:rsidR="008A55AC" w:rsidRPr="008A55AC" w:rsidRDefault="008A55AC" w:rsidP="008A55AC">
            <w:pPr>
              <w:rPr>
                <w:sz w:val="22"/>
                <w:szCs w:val="22"/>
              </w:rPr>
            </w:pPr>
            <w:r w:rsidRPr="008A55AC">
              <w:rPr>
                <w:sz w:val="22"/>
                <w:szCs w:val="22"/>
              </w:rPr>
              <w:t>5</w:t>
            </w:r>
          </w:p>
        </w:tc>
        <w:tc>
          <w:tcPr>
            <w:tcW w:w="6081" w:type="dxa"/>
            <w:vAlign w:val="center"/>
            <w:hideMark/>
          </w:tcPr>
          <w:p w14:paraId="7EE7E68F" w14:textId="6CC7151C" w:rsidR="008A55AC" w:rsidRPr="008A55AC" w:rsidRDefault="008A55AC" w:rsidP="008A55AC">
            <w:pPr>
              <w:rPr>
                <w:sz w:val="22"/>
                <w:szCs w:val="22"/>
              </w:rPr>
            </w:pPr>
            <w:r w:rsidRPr="008A55AC">
              <w:rPr>
                <w:sz w:val="22"/>
                <w:szCs w:val="22"/>
              </w:rPr>
              <w:t>Conduct 1:1s with direct reports</w:t>
            </w:r>
          </w:p>
        </w:tc>
        <w:tc>
          <w:tcPr>
            <w:tcW w:w="0" w:type="auto"/>
            <w:vAlign w:val="center"/>
            <w:hideMark/>
          </w:tcPr>
          <w:p w14:paraId="2184E6A6" w14:textId="06F3B11D" w:rsidR="008A55AC" w:rsidRPr="008A55AC" w:rsidRDefault="008A55AC" w:rsidP="008A55AC">
            <w:pPr>
              <w:rPr>
                <w:sz w:val="22"/>
                <w:szCs w:val="22"/>
              </w:rPr>
            </w:pPr>
            <w:r w:rsidRPr="008A55AC">
              <w:rPr>
                <w:sz w:val="22"/>
                <w:szCs w:val="22"/>
              </w:rPr>
              <w:t>Weekly / Bi-weekly</w:t>
            </w:r>
          </w:p>
        </w:tc>
        <w:tc>
          <w:tcPr>
            <w:tcW w:w="0" w:type="auto"/>
            <w:vAlign w:val="center"/>
            <w:hideMark/>
          </w:tcPr>
          <w:p w14:paraId="02913AF6" w14:textId="6468CC83" w:rsidR="008A55AC" w:rsidRPr="008A55AC" w:rsidRDefault="008A55AC" w:rsidP="008A55AC">
            <w:pPr>
              <w:rPr>
                <w:sz w:val="22"/>
                <w:szCs w:val="22"/>
              </w:rPr>
            </w:pPr>
            <w:r w:rsidRPr="008A55AC">
              <w:rPr>
                <w:sz w:val="22"/>
                <w:szCs w:val="22"/>
              </w:rPr>
              <w:t>No</w:t>
            </w:r>
          </w:p>
        </w:tc>
      </w:tr>
      <w:tr w:rsidR="008A55AC" w:rsidRPr="005A76C0" w14:paraId="441A36EC" w14:textId="77777777" w:rsidTr="00B76D98">
        <w:trPr>
          <w:tblCellSpacing w:w="15" w:type="dxa"/>
        </w:trPr>
        <w:tc>
          <w:tcPr>
            <w:tcW w:w="381" w:type="dxa"/>
            <w:vAlign w:val="center"/>
            <w:hideMark/>
          </w:tcPr>
          <w:p w14:paraId="585BB62B" w14:textId="344EE342" w:rsidR="008A55AC" w:rsidRPr="008A55AC" w:rsidRDefault="008A55AC" w:rsidP="008A55AC">
            <w:pPr>
              <w:rPr>
                <w:sz w:val="22"/>
                <w:szCs w:val="22"/>
              </w:rPr>
            </w:pPr>
            <w:r w:rsidRPr="008A55AC">
              <w:rPr>
                <w:sz w:val="22"/>
                <w:szCs w:val="22"/>
              </w:rPr>
              <w:t>6</w:t>
            </w:r>
          </w:p>
        </w:tc>
        <w:tc>
          <w:tcPr>
            <w:tcW w:w="6081" w:type="dxa"/>
            <w:vAlign w:val="center"/>
            <w:hideMark/>
          </w:tcPr>
          <w:p w14:paraId="51687FA3" w14:textId="7EB0AB58" w:rsidR="008A55AC" w:rsidRPr="008A55AC" w:rsidRDefault="008A55AC" w:rsidP="008A55AC">
            <w:pPr>
              <w:rPr>
                <w:sz w:val="22"/>
                <w:szCs w:val="22"/>
              </w:rPr>
            </w:pPr>
            <w:r w:rsidRPr="008A55AC">
              <w:rPr>
                <w:sz w:val="22"/>
                <w:szCs w:val="22"/>
              </w:rPr>
              <w:t>Manage escalated customer issues and partner operational complaints</w:t>
            </w:r>
          </w:p>
        </w:tc>
        <w:tc>
          <w:tcPr>
            <w:tcW w:w="0" w:type="auto"/>
            <w:vAlign w:val="center"/>
            <w:hideMark/>
          </w:tcPr>
          <w:p w14:paraId="30F57F43" w14:textId="534475CD" w:rsidR="008A55AC" w:rsidRPr="008A55AC" w:rsidRDefault="008A55AC" w:rsidP="008A55AC">
            <w:pPr>
              <w:rPr>
                <w:sz w:val="22"/>
                <w:szCs w:val="22"/>
              </w:rPr>
            </w:pPr>
            <w:r w:rsidRPr="008A55AC">
              <w:rPr>
                <w:sz w:val="22"/>
                <w:szCs w:val="22"/>
              </w:rPr>
              <w:t>As needed</w:t>
            </w:r>
          </w:p>
        </w:tc>
        <w:tc>
          <w:tcPr>
            <w:tcW w:w="0" w:type="auto"/>
            <w:vAlign w:val="center"/>
            <w:hideMark/>
          </w:tcPr>
          <w:p w14:paraId="551FE828" w14:textId="296BC235" w:rsidR="008A55AC" w:rsidRPr="008A55AC" w:rsidRDefault="008A55AC" w:rsidP="008A55AC">
            <w:pPr>
              <w:rPr>
                <w:sz w:val="22"/>
                <w:szCs w:val="22"/>
              </w:rPr>
            </w:pPr>
            <w:r w:rsidRPr="008A55AC">
              <w:rPr>
                <w:sz w:val="22"/>
                <w:szCs w:val="22"/>
              </w:rPr>
              <w:t>Partially</w:t>
            </w:r>
          </w:p>
        </w:tc>
      </w:tr>
      <w:tr w:rsidR="008A55AC" w:rsidRPr="005A76C0" w14:paraId="59205BCB" w14:textId="77777777" w:rsidTr="00B76D98">
        <w:trPr>
          <w:tblCellSpacing w:w="15" w:type="dxa"/>
        </w:trPr>
        <w:tc>
          <w:tcPr>
            <w:tcW w:w="381" w:type="dxa"/>
            <w:vAlign w:val="center"/>
            <w:hideMark/>
          </w:tcPr>
          <w:p w14:paraId="3CB9E742" w14:textId="583F6AC7" w:rsidR="008A55AC" w:rsidRPr="008A55AC" w:rsidRDefault="008A55AC" w:rsidP="008A55AC">
            <w:pPr>
              <w:rPr>
                <w:sz w:val="22"/>
                <w:szCs w:val="22"/>
              </w:rPr>
            </w:pPr>
            <w:r w:rsidRPr="008A55AC">
              <w:rPr>
                <w:sz w:val="22"/>
                <w:szCs w:val="22"/>
              </w:rPr>
              <w:t>7</w:t>
            </w:r>
          </w:p>
        </w:tc>
        <w:tc>
          <w:tcPr>
            <w:tcW w:w="6081" w:type="dxa"/>
            <w:vAlign w:val="center"/>
            <w:hideMark/>
          </w:tcPr>
          <w:p w14:paraId="42E99B8E" w14:textId="04960CF2" w:rsidR="008A55AC" w:rsidRPr="008A55AC" w:rsidRDefault="008A55AC" w:rsidP="008A55AC">
            <w:pPr>
              <w:rPr>
                <w:sz w:val="22"/>
                <w:szCs w:val="22"/>
              </w:rPr>
            </w:pPr>
            <w:r w:rsidRPr="008A55AC">
              <w:rPr>
                <w:sz w:val="22"/>
                <w:szCs w:val="22"/>
              </w:rPr>
              <w:t>Coordinate launch readiness checks with Learning Development and Platform &amp; Technology</w:t>
            </w:r>
          </w:p>
        </w:tc>
        <w:tc>
          <w:tcPr>
            <w:tcW w:w="0" w:type="auto"/>
            <w:vAlign w:val="center"/>
            <w:hideMark/>
          </w:tcPr>
          <w:p w14:paraId="1701627E" w14:textId="12AE725C" w:rsidR="008A55AC" w:rsidRPr="008A55AC" w:rsidRDefault="008A55AC" w:rsidP="008A55AC">
            <w:pPr>
              <w:rPr>
                <w:sz w:val="22"/>
                <w:szCs w:val="22"/>
              </w:rPr>
            </w:pPr>
            <w:r w:rsidRPr="008A55AC">
              <w:rPr>
                <w:sz w:val="22"/>
                <w:szCs w:val="22"/>
              </w:rPr>
              <w:t>Ongoing</w:t>
            </w:r>
          </w:p>
        </w:tc>
        <w:tc>
          <w:tcPr>
            <w:tcW w:w="0" w:type="auto"/>
            <w:vAlign w:val="center"/>
            <w:hideMark/>
          </w:tcPr>
          <w:p w14:paraId="2B2C2F53" w14:textId="677CDE86" w:rsidR="008A55AC" w:rsidRPr="008A55AC" w:rsidRDefault="008A55AC" w:rsidP="008A55AC">
            <w:pPr>
              <w:rPr>
                <w:sz w:val="22"/>
                <w:szCs w:val="22"/>
              </w:rPr>
            </w:pPr>
            <w:r w:rsidRPr="008A55AC">
              <w:rPr>
                <w:sz w:val="22"/>
                <w:szCs w:val="22"/>
              </w:rPr>
              <w:t>No</w:t>
            </w:r>
          </w:p>
        </w:tc>
      </w:tr>
      <w:tr w:rsidR="008A55AC" w:rsidRPr="005A76C0" w14:paraId="50DC65A6" w14:textId="77777777" w:rsidTr="00B76D98">
        <w:trPr>
          <w:tblCellSpacing w:w="15" w:type="dxa"/>
        </w:trPr>
        <w:tc>
          <w:tcPr>
            <w:tcW w:w="381" w:type="dxa"/>
            <w:vAlign w:val="center"/>
            <w:hideMark/>
          </w:tcPr>
          <w:p w14:paraId="496E5004" w14:textId="6F1044D1" w:rsidR="008A55AC" w:rsidRPr="008A55AC" w:rsidRDefault="008A55AC" w:rsidP="008A55AC">
            <w:pPr>
              <w:rPr>
                <w:sz w:val="22"/>
                <w:szCs w:val="22"/>
              </w:rPr>
            </w:pPr>
            <w:r w:rsidRPr="008A55AC">
              <w:rPr>
                <w:sz w:val="22"/>
                <w:szCs w:val="22"/>
              </w:rPr>
              <w:t>8</w:t>
            </w:r>
          </w:p>
        </w:tc>
        <w:tc>
          <w:tcPr>
            <w:tcW w:w="6081" w:type="dxa"/>
            <w:vAlign w:val="center"/>
            <w:hideMark/>
          </w:tcPr>
          <w:p w14:paraId="2800780E" w14:textId="00E38B38" w:rsidR="008A55AC" w:rsidRPr="008A55AC" w:rsidRDefault="008A55AC" w:rsidP="008A55AC">
            <w:pPr>
              <w:rPr>
                <w:sz w:val="22"/>
                <w:szCs w:val="22"/>
              </w:rPr>
            </w:pPr>
            <w:r w:rsidRPr="008A55AC">
              <w:rPr>
                <w:sz w:val="22"/>
                <w:szCs w:val="22"/>
              </w:rPr>
              <w:t>Own partner onboarding operational process and SLA tracking</w:t>
            </w:r>
          </w:p>
        </w:tc>
        <w:tc>
          <w:tcPr>
            <w:tcW w:w="0" w:type="auto"/>
            <w:vAlign w:val="center"/>
            <w:hideMark/>
          </w:tcPr>
          <w:p w14:paraId="350A7951" w14:textId="77CBF05D" w:rsidR="008A55AC" w:rsidRPr="008A55AC" w:rsidRDefault="008A55AC" w:rsidP="008A55AC">
            <w:pPr>
              <w:rPr>
                <w:sz w:val="22"/>
                <w:szCs w:val="22"/>
              </w:rPr>
            </w:pPr>
            <w:r w:rsidRPr="008A55AC">
              <w:rPr>
                <w:sz w:val="22"/>
                <w:szCs w:val="22"/>
              </w:rPr>
              <w:t>Ongoing</w:t>
            </w:r>
          </w:p>
        </w:tc>
        <w:tc>
          <w:tcPr>
            <w:tcW w:w="0" w:type="auto"/>
            <w:vAlign w:val="center"/>
            <w:hideMark/>
          </w:tcPr>
          <w:p w14:paraId="6DDCF629" w14:textId="24531CB6" w:rsidR="008A55AC" w:rsidRPr="008A55AC" w:rsidRDefault="008A55AC" w:rsidP="008A55AC">
            <w:pPr>
              <w:rPr>
                <w:sz w:val="22"/>
                <w:szCs w:val="22"/>
              </w:rPr>
            </w:pPr>
            <w:r w:rsidRPr="008A55AC">
              <w:rPr>
                <w:sz w:val="22"/>
                <w:szCs w:val="22"/>
              </w:rPr>
              <w:t>Partially</w:t>
            </w:r>
          </w:p>
        </w:tc>
      </w:tr>
      <w:tr w:rsidR="008A55AC" w:rsidRPr="005A76C0" w14:paraId="060AA7A9" w14:textId="77777777" w:rsidTr="00B76D98">
        <w:trPr>
          <w:tblCellSpacing w:w="15" w:type="dxa"/>
        </w:trPr>
        <w:tc>
          <w:tcPr>
            <w:tcW w:w="381" w:type="dxa"/>
            <w:vAlign w:val="center"/>
            <w:hideMark/>
          </w:tcPr>
          <w:p w14:paraId="32347ABB" w14:textId="2DB41C92" w:rsidR="008A55AC" w:rsidRPr="008A55AC" w:rsidRDefault="008A55AC" w:rsidP="008A55AC">
            <w:pPr>
              <w:rPr>
                <w:sz w:val="22"/>
                <w:szCs w:val="22"/>
              </w:rPr>
            </w:pPr>
            <w:r w:rsidRPr="008A55AC">
              <w:rPr>
                <w:sz w:val="22"/>
                <w:szCs w:val="22"/>
              </w:rPr>
              <w:t>9</w:t>
            </w:r>
          </w:p>
        </w:tc>
        <w:tc>
          <w:tcPr>
            <w:tcW w:w="6081" w:type="dxa"/>
            <w:vAlign w:val="center"/>
            <w:hideMark/>
          </w:tcPr>
          <w:p w14:paraId="22552137" w14:textId="5D0DFC74" w:rsidR="008A55AC" w:rsidRPr="008A55AC" w:rsidRDefault="008A55AC" w:rsidP="008A55AC">
            <w:pPr>
              <w:rPr>
                <w:sz w:val="22"/>
                <w:szCs w:val="22"/>
              </w:rPr>
            </w:pPr>
            <w:r w:rsidRPr="008A55AC">
              <w:rPr>
                <w:sz w:val="22"/>
                <w:szCs w:val="22"/>
              </w:rPr>
              <w:t>Manage ILT and Fleet Safety scheduling, compliance, and delivery execution</w:t>
            </w:r>
          </w:p>
        </w:tc>
        <w:tc>
          <w:tcPr>
            <w:tcW w:w="0" w:type="auto"/>
            <w:vAlign w:val="center"/>
            <w:hideMark/>
          </w:tcPr>
          <w:p w14:paraId="36E8072F" w14:textId="59FF2DF5" w:rsidR="008A55AC" w:rsidRPr="008A55AC" w:rsidRDefault="008A55AC" w:rsidP="008A55AC">
            <w:pPr>
              <w:rPr>
                <w:sz w:val="22"/>
                <w:szCs w:val="22"/>
              </w:rPr>
            </w:pPr>
            <w:r w:rsidRPr="008A55AC">
              <w:rPr>
                <w:sz w:val="22"/>
                <w:szCs w:val="22"/>
              </w:rPr>
              <w:t>Ongoing</w:t>
            </w:r>
          </w:p>
        </w:tc>
        <w:tc>
          <w:tcPr>
            <w:tcW w:w="0" w:type="auto"/>
            <w:vAlign w:val="center"/>
            <w:hideMark/>
          </w:tcPr>
          <w:p w14:paraId="7E68657F" w14:textId="78C2CDE5" w:rsidR="008A55AC" w:rsidRPr="008A55AC" w:rsidRDefault="008A55AC" w:rsidP="008A55AC">
            <w:pPr>
              <w:rPr>
                <w:sz w:val="22"/>
                <w:szCs w:val="22"/>
              </w:rPr>
            </w:pPr>
            <w:r w:rsidRPr="008A55AC">
              <w:rPr>
                <w:sz w:val="22"/>
                <w:szCs w:val="22"/>
              </w:rPr>
              <w:t>Partially</w:t>
            </w:r>
          </w:p>
        </w:tc>
      </w:tr>
      <w:tr w:rsidR="008A55AC" w:rsidRPr="005A76C0" w14:paraId="2DE297FF" w14:textId="77777777" w:rsidTr="00B76D98">
        <w:trPr>
          <w:tblCellSpacing w:w="15" w:type="dxa"/>
        </w:trPr>
        <w:tc>
          <w:tcPr>
            <w:tcW w:w="381" w:type="dxa"/>
            <w:vAlign w:val="center"/>
            <w:hideMark/>
          </w:tcPr>
          <w:p w14:paraId="61CEAEDF" w14:textId="16761840" w:rsidR="008A55AC" w:rsidRPr="008A55AC" w:rsidRDefault="008A55AC" w:rsidP="008A55AC">
            <w:pPr>
              <w:rPr>
                <w:sz w:val="22"/>
                <w:szCs w:val="22"/>
              </w:rPr>
            </w:pPr>
            <w:r w:rsidRPr="008A55AC">
              <w:rPr>
                <w:sz w:val="22"/>
                <w:szCs w:val="22"/>
              </w:rPr>
              <w:t>10</w:t>
            </w:r>
          </w:p>
        </w:tc>
        <w:tc>
          <w:tcPr>
            <w:tcW w:w="6081" w:type="dxa"/>
            <w:vAlign w:val="center"/>
            <w:hideMark/>
          </w:tcPr>
          <w:p w14:paraId="51178EDB" w14:textId="7F8E1E9F" w:rsidR="008A55AC" w:rsidRPr="008A55AC" w:rsidRDefault="008A55AC" w:rsidP="008A55AC">
            <w:pPr>
              <w:rPr>
                <w:sz w:val="22"/>
                <w:szCs w:val="22"/>
              </w:rPr>
            </w:pPr>
            <w:r w:rsidRPr="008A55AC">
              <w:rPr>
                <w:sz w:val="22"/>
                <w:szCs w:val="22"/>
              </w:rPr>
              <w:t>Drive process documentation and SOP development across the delivery function</w:t>
            </w:r>
          </w:p>
        </w:tc>
        <w:tc>
          <w:tcPr>
            <w:tcW w:w="0" w:type="auto"/>
            <w:vAlign w:val="center"/>
            <w:hideMark/>
          </w:tcPr>
          <w:p w14:paraId="0FD04C57" w14:textId="6335AF56" w:rsidR="008A55AC" w:rsidRPr="008A55AC" w:rsidRDefault="008A55AC" w:rsidP="008A55AC">
            <w:pPr>
              <w:rPr>
                <w:sz w:val="22"/>
                <w:szCs w:val="22"/>
              </w:rPr>
            </w:pPr>
            <w:r w:rsidRPr="008A55AC">
              <w:rPr>
                <w:sz w:val="22"/>
                <w:szCs w:val="22"/>
              </w:rPr>
              <w:t>Ongoing</w:t>
            </w:r>
          </w:p>
        </w:tc>
        <w:tc>
          <w:tcPr>
            <w:tcW w:w="0" w:type="auto"/>
            <w:vAlign w:val="center"/>
            <w:hideMark/>
          </w:tcPr>
          <w:p w14:paraId="450D64D8" w14:textId="5FB111B4" w:rsidR="008A55AC" w:rsidRPr="008A55AC" w:rsidRDefault="008A55AC" w:rsidP="008A55AC">
            <w:pPr>
              <w:rPr>
                <w:sz w:val="22"/>
                <w:szCs w:val="22"/>
              </w:rPr>
            </w:pPr>
            <w:r w:rsidRPr="008A55AC">
              <w:rPr>
                <w:sz w:val="22"/>
                <w:szCs w:val="22"/>
              </w:rPr>
              <w:t>Partially</w:t>
            </w:r>
          </w:p>
        </w:tc>
      </w:tr>
      <w:tr w:rsidR="008A55AC" w:rsidRPr="005A76C0" w14:paraId="4224A38C" w14:textId="77777777" w:rsidTr="00B76D98">
        <w:trPr>
          <w:tblCellSpacing w:w="15" w:type="dxa"/>
        </w:trPr>
        <w:tc>
          <w:tcPr>
            <w:tcW w:w="381" w:type="dxa"/>
            <w:vAlign w:val="center"/>
            <w:hideMark/>
          </w:tcPr>
          <w:p w14:paraId="68EDF032" w14:textId="6CBA85DF" w:rsidR="008A55AC" w:rsidRPr="008A55AC" w:rsidRDefault="008A55AC" w:rsidP="008A55AC">
            <w:pPr>
              <w:rPr>
                <w:sz w:val="22"/>
                <w:szCs w:val="22"/>
              </w:rPr>
            </w:pPr>
            <w:r w:rsidRPr="008A55AC">
              <w:rPr>
                <w:sz w:val="22"/>
                <w:szCs w:val="22"/>
              </w:rPr>
              <w:t>11</w:t>
            </w:r>
          </w:p>
        </w:tc>
        <w:tc>
          <w:tcPr>
            <w:tcW w:w="6081" w:type="dxa"/>
            <w:vAlign w:val="center"/>
            <w:hideMark/>
          </w:tcPr>
          <w:p w14:paraId="0B2490D9" w14:textId="287529F9" w:rsidR="008A55AC" w:rsidRPr="008A55AC" w:rsidRDefault="008A55AC" w:rsidP="008A55AC">
            <w:pPr>
              <w:rPr>
                <w:sz w:val="22"/>
                <w:szCs w:val="22"/>
              </w:rPr>
            </w:pPr>
            <w:r w:rsidRPr="008A55AC">
              <w:rPr>
                <w:sz w:val="22"/>
                <w:szCs w:val="22"/>
              </w:rPr>
              <w:t>Own Revenue-to-Delivery handoff process and kickoff call quality</w:t>
            </w:r>
          </w:p>
        </w:tc>
        <w:tc>
          <w:tcPr>
            <w:tcW w:w="0" w:type="auto"/>
            <w:vAlign w:val="center"/>
            <w:hideMark/>
          </w:tcPr>
          <w:p w14:paraId="14D590C7" w14:textId="4717DC11" w:rsidR="008A55AC" w:rsidRPr="008A55AC" w:rsidRDefault="008A55AC" w:rsidP="008A55AC">
            <w:pPr>
              <w:rPr>
                <w:sz w:val="22"/>
                <w:szCs w:val="22"/>
              </w:rPr>
            </w:pPr>
            <w:r w:rsidRPr="008A55AC">
              <w:rPr>
                <w:sz w:val="22"/>
                <w:szCs w:val="22"/>
              </w:rPr>
              <w:t>Ongoing</w:t>
            </w:r>
          </w:p>
        </w:tc>
        <w:tc>
          <w:tcPr>
            <w:tcW w:w="0" w:type="auto"/>
            <w:vAlign w:val="center"/>
            <w:hideMark/>
          </w:tcPr>
          <w:p w14:paraId="601FE1C1" w14:textId="4E60F910" w:rsidR="008A55AC" w:rsidRPr="008A55AC" w:rsidRDefault="008A55AC" w:rsidP="008A55AC">
            <w:pPr>
              <w:rPr>
                <w:sz w:val="22"/>
                <w:szCs w:val="22"/>
              </w:rPr>
            </w:pPr>
            <w:r w:rsidRPr="008A55AC">
              <w:rPr>
                <w:sz w:val="22"/>
                <w:szCs w:val="22"/>
              </w:rPr>
              <w:t>No</w:t>
            </w:r>
          </w:p>
        </w:tc>
      </w:tr>
      <w:tr w:rsidR="008A55AC" w:rsidRPr="005A76C0" w14:paraId="64F01132" w14:textId="77777777" w:rsidTr="00B76D98">
        <w:trPr>
          <w:tblCellSpacing w:w="15" w:type="dxa"/>
        </w:trPr>
        <w:tc>
          <w:tcPr>
            <w:tcW w:w="381" w:type="dxa"/>
            <w:vAlign w:val="center"/>
            <w:hideMark/>
          </w:tcPr>
          <w:p w14:paraId="12A3040F" w14:textId="1A2AD18D" w:rsidR="008A55AC" w:rsidRPr="008A55AC" w:rsidRDefault="008A55AC" w:rsidP="008A55AC">
            <w:pPr>
              <w:rPr>
                <w:sz w:val="22"/>
                <w:szCs w:val="22"/>
              </w:rPr>
            </w:pPr>
            <w:r w:rsidRPr="008A55AC">
              <w:rPr>
                <w:sz w:val="22"/>
                <w:szCs w:val="22"/>
              </w:rPr>
              <w:t>12</w:t>
            </w:r>
          </w:p>
        </w:tc>
        <w:tc>
          <w:tcPr>
            <w:tcW w:w="6081" w:type="dxa"/>
            <w:vAlign w:val="center"/>
            <w:hideMark/>
          </w:tcPr>
          <w:p w14:paraId="12DF70E5" w14:textId="1655995A" w:rsidR="008A55AC" w:rsidRPr="008A55AC" w:rsidRDefault="008A55AC" w:rsidP="008A55AC">
            <w:pPr>
              <w:rPr>
                <w:sz w:val="22"/>
                <w:szCs w:val="22"/>
              </w:rPr>
            </w:pPr>
            <w:r w:rsidRPr="008A55AC">
              <w:rPr>
                <w:sz w:val="22"/>
                <w:szCs w:val="22"/>
              </w:rPr>
              <w:t>Build and manage Joint Impact Plans with new and key customers</w:t>
            </w:r>
          </w:p>
        </w:tc>
        <w:tc>
          <w:tcPr>
            <w:tcW w:w="0" w:type="auto"/>
            <w:vAlign w:val="center"/>
            <w:hideMark/>
          </w:tcPr>
          <w:p w14:paraId="20FAB292" w14:textId="3B9E5B1A" w:rsidR="008A55AC" w:rsidRPr="008A55AC" w:rsidRDefault="008A55AC" w:rsidP="008A55AC">
            <w:pPr>
              <w:rPr>
                <w:sz w:val="22"/>
                <w:szCs w:val="22"/>
              </w:rPr>
            </w:pPr>
            <w:r w:rsidRPr="008A55AC">
              <w:rPr>
                <w:sz w:val="22"/>
                <w:szCs w:val="22"/>
              </w:rPr>
              <w:t>Ongoing</w:t>
            </w:r>
          </w:p>
        </w:tc>
        <w:tc>
          <w:tcPr>
            <w:tcW w:w="0" w:type="auto"/>
            <w:vAlign w:val="center"/>
            <w:hideMark/>
          </w:tcPr>
          <w:p w14:paraId="4CA1596A" w14:textId="08C9A6AE" w:rsidR="008A55AC" w:rsidRPr="008A55AC" w:rsidRDefault="008A55AC" w:rsidP="008A55AC">
            <w:pPr>
              <w:rPr>
                <w:sz w:val="22"/>
                <w:szCs w:val="22"/>
              </w:rPr>
            </w:pPr>
            <w:r w:rsidRPr="008A55AC">
              <w:rPr>
                <w:sz w:val="22"/>
                <w:szCs w:val="22"/>
              </w:rPr>
              <w:t>Partially</w:t>
            </w:r>
          </w:p>
        </w:tc>
      </w:tr>
      <w:tr w:rsidR="008A55AC" w:rsidRPr="005A76C0" w14:paraId="6F0ADA95" w14:textId="77777777" w:rsidTr="00B76D98">
        <w:trPr>
          <w:tblCellSpacing w:w="15" w:type="dxa"/>
        </w:trPr>
        <w:tc>
          <w:tcPr>
            <w:tcW w:w="381" w:type="dxa"/>
            <w:vAlign w:val="center"/>
            <w:hideMark/>
          </w:tcPr>
          <w:p w14:paraId="68D09543" w14:textId="599F3451" w:rsidR="008A55AC" w:rsidRPr="008A55AC" w:rsidRDefault="008A55AC" w:rsidP="008A55AC">
            <w:pPr>
              <w:rPr>
                <w:sz w:val="22"/>
                <w:szCs w:val="22"/>
              </w:rPr>
            </w:pPr>
            <w:r w:rsidRPr="008A55AC">
              <w:rPr>
                <w:sz w:val="22"/>
                <w:szCs w:val="22"/>
              </w:rPr>
              <w:t>13</w:t>
            </w:r>
          </w:p>
        </w:tc>
        <w:tc>
          <w:tcPr>
            <w:tcW w:w="6081" w:type="dxa"/>
            <w:vAlign w:val="center"/>
            <w:hideMark/>
          </w:tcPr>
          <w:p w14:paraId="24FB0CF9" w14:textId="5B9E4510" w:rsidR="008A55AC" w:rsidRPr="008A55AC" w:rsidRDefault="008A55AC" w:rsidP="008A55AC">
            <w:pPr>
              <w:rPr>
                <w:sz w:val="22"/>
                <w:szCs w:val="22"/>
              </w:rPr>
            </w:pPr>
            <w:r w:rsidRPr="008A55AC">
              <w:rPr>
                <w:sz w:val="22"/>
                <w:szCs w:val="22"/>
              </w:rPr>
              <w:t>Conduct strategic customer reviews with key and at-risk accounts</w:t>
            </w:r>
          </w:p>
        </w:tc>
        <w:tc>
          <w:tcPr>
            <w:tcW w:w="0" w:type="auto"/>
            <w:vAlign w:val="center"/>
            <w:hideMark/>
          </w:tcPr>
          <w:p w14:paraId="4E2D79EF" w14:textId="7A5AF901" w:rsidR="008A55AC" w:rsidRPr="008A55AC" w:rsidRDefault="008A55AC" w:rsidP="008A55AC">
            <w:pPr>
              <w:rPr>
                <w:sz w:val="22"/>
                <w:szCs w:val="22"/>
              </w:rPr>
            </w:pPr>
            <w:r w:rsidRPr="008A55AC">
              <w:rPr>
                <w:sz w:val="22"/>
                <w:szCs w:val="22"/>
              </w:rPr>
              <w:t>Ongoing</w:t>
            </w:r>
          </w:p>
        </w:tc>
        <w:tc>
          <w:tcPr>
            <w:tcW w:w="0" w:type="auto"/>
            <w:vAlign w:val="center"/>
            <w:hideMark/>
          </w:tcPr>
          <w:p w14:paraId="41AB989F" w14:textId="62ECF126" w:rsidR="008A55AC" w:rsidRPr="008A55AC" w:rsidRDefault="008A55AC" w:rsidP="008A55AC">
            <w:pPr>
              <w:rPr>
                <w:sz w:val="22"/>
                <w:szCs w:val="22"/>
              </w:rPr>
            </w:pPr>
            <w:r w:rsidRPr="008A55AC">
              <w:rPr>
                <w:sz w:val="22"/>
                <w:szCs w:val="22"/>
              </w:rPr>
              <w:t>No</w:t>
            </w:r>
          </w:p>
        </w:tc>
      </w:tr>
      <w:tr w:rsidR="008A55AC" w:rsidRPr="005A76C0" w14:paraId="444F8188" w14:textId="77777777" w:rsidTr="00B76D98">
        <w:trPr>
          <w:tblCellSpacing w:w="15" w:type="dxa"/>
        </w:trPr>
        <w:tc>
          <w:tcPr>
            <w:tcW w:w="381" w:type="dxa"/>
            <w:vAlign w:val="center"/>
            <w:hideMark/>
          </w:tcPr>
          <w:p w14:paraId="0E7089A2" w14:textId="1BB95543" w:rsidR="008A55AC" w:rsidRPr="008A55AC" w:rsidRDefault="008A55AC" w:rsidP="008A55AC">
            <w:pPr>
              <w:rPr>
                <w:sz w:val="22"/>
                <w:szCs w:val="22"/>
              </w:rPr>
            </w:pPr>
            <w:r w:rsidRPr="008A55AC">
              <w:rPr>
                <w:sz w:val="22"/>
                <w:szCs w:val="22"/>
              </w:rPr>
              <w:t>14</w:t>
            </w:r>
          </w:p>
        </w:tc>
        <w:tc>
          <w:tcPr>
            <w:tcW w:w="6081" w:type="dxa"/>
            <w:vAlign w:val="center"/>
            <w:hideMark/>
          </w:tcPr>
          <w:p w14:paraId="0E5CB6F0" w14:textId="56206554" w:rsidR="008A55AC" w:rsidRPr="008A55AC" w:rsidRDefault="008A55AC" w:rsidP="008A55AC">
            <w:pPr>
              <w:rPr>
                <w:sz w:val="22"/>
                <w:szCs w:val="22"/>
              </w:rPr>
            </w:pPr>
            <w:r w:rsidRPr="008A55AC">
              <w:rPr>
                <w:sz w:val="22"/>
                <w:szCs w:val="22"/>
              </w:rPr>
              <w:t>Own renewal execution process including early-stage renewal pipeline management</w:t>
            </w:r>
          </w:p>
        </w:tc>
        <w:tc>
          <w:tcPr>
            <w:tcW w:w="0" w:type="auto"/>
            <w:vAlign w:val="center"/>
            <w:hideMark/>
          </w:tcPr>
          <w:p w14:paraId="15E2D9AD" w14:textId="2184F460" w:rsidR="008A55AC" w:rsidRPr="008A55AC" w:rsidRDefault="008A55AC" w:rsidP="008A55AC">
            <w:pPr>
              <w:rPr>
                <w:sz w:val="22"/>
                <w:szCs w:val="22"/>
              </w:rPr>
            </w:pPr>
            <w:r w:rsidRPr="008A55AC">
              <w:rPr>
                <w:sz w:val="22"/>
                <w:szCs w:val="22"/>
              </w:rPr>
              <w:t>Ongoing</w:t>
            </w:r>
          </w:p>
        </w:tc>
        <w:tc>
          <w:tcPr>
            <w:tcW w:w="0" w:type="auto"/>
            <w:vAlign w:val="center"/>
            <w:hideMark/>
          </w:tcPr>
          <w:p w14:paraId="3AC57613" w14:textId="02351869" w:rsidR="008A55AC" w:rsidRPr="008A55AC" w:rsidRDefault="008A55AC" w:rsidP="008A55AC">
            <w:pPr>
              <w:rPr>
                <w:sz w:val="22"/>
                <w:szCs w:val="22"/>
              </w:rPr>
            </w:pPr>
            <w:r w:rsidRPr="008A55AC">
              <w:rPr>
                <w:sz w:val="22"/>
                <w:szCs w:val="22"/>
              </w:rPr>
              <w:t>No</w:t>
            </w:r>
          </w:p>
        </w:tc>
      </w:tr>
      <w:tr w:rsidR="008A55AC" w:rsidRPr="005A76C0" w14:paraId="3F604ED7" w14:textId="77777777" w:rsidTr="00B76D98">
        <w:trPr>
          <w:tblCellSpacing w:w="15" w:type="dxa"/>
        </w:trPr>
        <w:tc>
          <w:tcPr>
            <w:tcW w:w="381" w:type="dxa"/>
            <w:vAlign w:val="center"/>
            <w:hideMark/>
          </w:tcPr>
          <w:p w14:paraId="392914F3" w14:textId="022CFE05" w:rsidR="008A55AC" w:rsidRPr="008A55AC" w:rsidRDefault="008A55AC" w:rsidP="008A55AC">
            <w:pPr>
              <w:rPr>
                <w:sz w:val="22"/>
                <w:szCs w:val="22"/>
              </w:rPr>
            </w:pPr>
            <w:r w:rsidRPr="008A55AC">
              <w:rPr>
                <w:sz w:val="22"/>
                <w:szCs w:val="22"/>
              </w:rPr>
              <w:t>15</w:t>
            </w:r>
          </w:p>
        </w:tc>
        <w:tc>
          <w:tcPr>
            <w:tcW w:w="6081" w:type="dxa"/>
            <w:vAlign w:val="center"/>
            <w:hideMark/>
          </w:tcPr>
          <w:p w14:paraId="7815803F" w14:textId="5C22CCB7" w:rsidR="008A55AC" w:rsidRPr="008A55AC" w:rsidRDefault="008A55AC" w:rsidP="008A55AC">
            <w:pPr>
              <w:rPr>
                <w:sz w:val="22"/>
                <w:szCs w:val="22"/>
              </w:rPr>
            </w:pPr>
            <w:r w:rsidRPr="008A55AC">
              <w:rPr>
                <w:sz w:val="22"/>
                <w:szCs w:val="22"/>
              </w:rPr>
              <w:t>Identify and document expansion opportunities and hand off to Head of Revenue</w:t>
            </w:r>
          </w:p>
        </w:tc>
        <w:tc>
          <w:tcPr>
            <w:tcW w:w="0" w:type="auto"/>
            <w:vAlign w:val="center"/>
            <w:hideMark/>
          </w:tcPr>
          <w:p w14:paraId="6BE5E626" w14:textId="2E6E9C93" w:rsidR="008A55AC" w:rsidRPr="008A55AC" w:rsidRDefault="008A55AC" w:rsidP="008A55AC">
            <w:pPr>
              <w:rPr>
                <w:sz w:val="22"/>
                <w:szCs w:val="22"/>
              </w:rPr>
            </w:pPr>
            <w:r w:rsidRPr="008A55AC">
              <w:rPr>
                <w:sz w:val="22"/>
                <w:szCs w:val="22"/>
              </w:rPr>
              <w:t>Ongoing</w:t>
            </w:r>
          </w:p>
        </w:tc>
        <w:tc>
          <w:tcPr>
            <w:tcW w:w="0" w:type="auto"/>
            <w:vAlign w:val="center"/>
            <w:hideMark/>
          </w:tcPr>
          <w:p w14:paraId="6DBB23FB" w14:textId="2593FC0D" w:rsidR="008A55AC" w:rsidRPr="008A55AC" w:rsidRDefault="008A55AC" w:rsidP="008A55AC">
            <w:pPr>
              <w:rPr>
                <w:sz w:val="22"/>
                <w:szCs w:val="22"/>
              </w:rPr>
            </w:pPr>
            <w:r w:rsidRPr="008A55AC">
              <w:rPr>
                <w:sz w:val="22"/>
                <w:szCs w:val="22"/>
              </w:rPr>
              <w:t>Partially</w:t>
            </w:r>
          </w:p>
        </w:tc>
      </w:tr>
      <w:tr w:rsidR="008A55AC" w:rsidRPr="005A76C0" w14:paraId="652216A2" w14:textId="77777777" w:rsidTr="00B76D98">
        <w:trPr>
          <w:tblCellSpacing w:w="15" w:type="dxa"/>
        </w:trPr>
        <w:tc>
          <w:tcPr>
            <w:tcW w:w="381" w:type="dxa"/>
            <w:vAlign w:val="center"/>
          </w:tcPr>
          <w:p w14:paraId="2EADEB62" w14:textId="39394C59" w:rsidR="008A55AC" w:rsidRPr="008A55AC" w:rsidRDefault="008A55AC" w:rsidP="008A55AC">
            <w:pPr>
              <w:rPr>
                <w:sz w:val="22"/>
                <w:szCs w:val="22"/>
              </w:rPr>
            </w:pPr>
            <w:r w:rsidRPr="008A55AC">
              <w:rPr>
                <w:sz w:val="22"/>
                <w:szCs w:val="22"/>
              </w:rPr>
              <w:t>16</w:t>
            </w:r>
          </w:p>
        </w:tc>
        <w:tc>
          <w:tcPr>
            <w:tcW w:w="6081" w:type="dxa"/>
            <w:vAlign w:val="center"/>
          </w:tcPr>
          <w:p w14:paraId="612BCE24" w14:textId="6632D310" w:rsidR="008A55AC" w:rsidRPr="008A55AC" w:rsidRDefault="008A55AC" w:rsidP="008A55AC">
            <w:pPr>
              <w:rPr>
                <w:sz w:val="22"/>
                <w:szCs w:val="22"/>
              </w:rPr>
            </w:pPr>
            <w:r w:rsidRPr="008A55AC">
              <w:rPr>
                <w:sz w:val="22"/>
                <w:szCs w:val="22"/>
              </w:rPr>
              <w:t>Review cost-to-serve data and identify efficiency opportunities</w:t>
            </w:r>
          </w:p>
        </w:tc>
        <w:tc>
          <w:tcPr>
            <w:tcW w:w="0" w:type="auto"/>
            <w:vAlign w:val="center"/>
          </w:tcPr>
          <w:p w14:paraId="6890161D" w14:textId="46D7F9C2" w:rsidR="008A55AC" w:rsidRPr="008A55AC" w:rsidRDefault="008A55AC" w:rsidP="008A55AC">
            <w:pPr>
              <w:rPr>
                <w:sz w:val="22"/>
                <w:szCs w:val="22"/>
              </w:rPr>
            </w:pPr>
            <w:r w:rsidRPr="008A55AC">
              <w:rPr>
                <w:sz w:val="22"/>
                <w:szCs w:val="22"/>
              </w:rPr>
              <w:t>Quarterly</w:t>
            </w:r>
          </w:p>
        </w:tc>
        <w:tc>
          <w:tcPr>
            <w:tcW w:w="0" w:type="auto"/>
            <w:vAlign w:val="center"/>
          </w:tcPr>
          <w:p w14:paraId="7AAD4AF8" w14:textId="6695655C" w:rsidR="008A55AC" w:rsidRPr="008A55AC" w:rsidRDefault="008A55AC" w:rsidP="008A55AC">
            <w:pPr>
              <w:rPr>
                <w:sz w:val="22"/>
                <w:szCs w:val="22"/>
              </w:rPr>
            </w:pPr>
            <w:r w:rsidRPr="008A55AC">
              <w:rPr>
                <w:sz w:val="22"/>
                <w:szCs w:val="22"/>
              </w:rPr>
              <w:t>No</w:t>
            </w:r>
          </w:p>
        </w:tc>
      </w:tr>
      <w:tr w:rsidR="008A55AC" w:rsidRPr="005A76C0" w14:paraId="288ED82C" w14:textId="77777777" w:rsidTr="00B76D98">
        <w:trPr>
          <w:tblCellSpacing w:w="15" w:type="dxa"/>
        </w:trPr>
        <w:tc>
          <w:tcPr>
            <w:tcW w:w="381" w:type="dxa"/>
            <w:vAlign w:val="center"/>
          </w:tcPr>
          <w:p w14:paraId="3454EFB2" w14:textId="0C5E6B1E" w:rsidR="008A55AC" w:rsidRPr="008A55AC" w:rsidRDefault="008A55AC" w:rsidP="008A55AC">
            <w:pPr>
              <w:rPr>
                <w:sz w:val="22"/>
                <w:szCs w:val="22"/>
              </w:rPr>
            </w:pPr>
            <w:r w:rsidRPr="008A55AC">
              <w:rPr>
                <w:sz w:val="22"/>
                <w:szCs w:val="22"/>
              </w:rPr>
              <w:lastRenderedPageBreak/>
              <w:t>17</w:t>
            </w:r>
          </w:p>
        </w:tc>
        <w:tc>
          <w:tcPr>
            <w:tcW w:w="6081" w:type="dxa"/>
            <w:vAlign w:val="center"/>
          </w:tcPr>
          <w:p w14:paraId="397C3DC8" w14:textId="1D401892" w:rsidR="008A55AC" w:rsidRPr="008A55AC" w:rsidRDefault="008A55AC" w:rsidP="008A55AC">
            <w:pPr>
              <w:rPr>
                <w:sz w:val="22"/>
                <w:szCs w:val="22"/>
              </w:rPr>
            </w:pPr>
            <w:r w:rsidRPr="008A55AC">
              <w:rPr>
                <w:sz w:val="22"/>
                <w:szCs w:val="22"/>
              </w:rPr>
              <w:t>Build and update quarterly capacity plan for the delivery function</w:t>
            </w:r>
          </w:p>
        </w:tc>
        <w:tc>
          <w:tcPr>
            <w:tcW w:w="0" w:type="auto"/>
            <w:vAlign w:val="center"/>
          </w:tcPr>
          <w:p w14:paraId="6E5AEB62" w14:textId="3EFB5522" w:rsidR="008A55AC" w:rsidRPr="008A55AC" w:rsidRDefault="008A55AC" w:rsidP="008A55AC">
            <w:pPr>
              <w:rPr>
                <w:sz w:val="22"/>
                <w:szCs w:val="22"/>
              </w:rPr>
            </w:pPr>
            <w:r w:rsidRPr="008A55AC">
              <w:rPr>
                <w:sz w:val="22"/>
                <w:szCs w:val="22"/>
              </w:rPr>
              <w:t>Quarterly</w:t>
            </w:r>
          </w:p>
        </w:tc>
        <w:tc>
          <w:tcPr>
            <w:tcW w:w="0" w:type="auto"/>
            <w:vAlign w:val="center"/>
          </w:tcPr>
          <w:p w14:paraId="3105049D" w14:textId="4AFDC6C1" w:rsidR="008A55AC" w:rsidRPr="008A55AC" w:rsidRDefault="008A55AC" w:rsidP="008A55AC">
            <w:pPr>
              <w:rPr>
                <w:sz w:val="22"/>
                <w:szCs w:val="22"/>
              </w:rPr>
            </w:pPr>
            <w:r w:rsidRPr="008A55AC">
              <w:rPr>
                <w:sz w:val="22"/>
                <w:szCs w:val="22"/>
              </w:rPr>
              <w:t>No</w:t>
            </w:r>
          </w:p>
        </w:tc>
      </w:tr>
      <w:tr w:rsidR="008A55AC" w:rsidRPr="005A76C0" w14:paraId="21A86B0C" w14:textId="77777777" w:rsidTr="00B76D98">
        <w:trPr>
          <w:tblCellSpacing w:w="15" w:type="dxa"/>
        </w:trPr>
        <w:tc>
          <w:tcPr>
            <w:tcW w:w="381" w:type="dxa"/>
            <w:vAlign w:val="center"/>
          </w:tcPr>
          <w:p w14:paraId="4FBF0843" w14:textId="04BEA5F2" w:rsidR="008A55AC" w:rsidRPr="008A55AC" w:rsidRDefault="008A55AC" w:rsidP="008A55AC">
            <w:pPr>
              <w:rPr>
                <w:sz w:val="22"/>
                <w:szCs w:val="22"/>
              </w:rPr>
            </w:pPr>
            <w:r w:rsidRPr="008A55AC">
              <w:rPr>
                <w:sz w:val="22"/>
                <w:szCs w:val="22"/>
              </w:rPr>
              <w:t>18</w:t>
            </w:r>
          </w:p>
        </w:tc>
        <w:tc>
          <w:tcPr>
            <w:tcW w:w="6081" w:type="dxa"/>
            <w:vAlign w:val="center"/>
          </w:tcPr>
          <w:p w14:paraId="6EACD8EA" w14:textId="20F0E180" w:rsidR="008A55AC" w:rsidRPr="008A55AC" w:rsidRDefault="008A55AC" w:rsidP="008A55AC">
            <w:pPr>
              <w:rPr>
                <w:sz w:val="22"/>
                <w:szCs w:val="22"/>
              </w:rPr>
            </w:pPr>
            <w:r w:rsidRPr="008A55AC">
              <w:rPr>
                <w:sz w:val="22"/>
                <w:szCs w:val="22"/>
              </w:rPr>
              <w:t>Conduct quarterly People Analyzer conversations with direct reports</w:t>
            </w:r>
          </w:p>
        </w:tc>
        <w:tc>
          <w:tcPr>
            <w:tcW w:w="0" w:type="auto"/>
            <w:vAlign w:val="center"/>
          </w:tcPr>
          <w:p w14:paraId="780A7C65" w14:textId="5407A1E6" w:rsidR="008A55AC" w:rsidRPr="008A55AC" w:rsidRDefault="008A55AC" w:rsidP="008A55AC">
            <w:pPr>
              <w:rPr>
                <w:sz w:val="22"/>
                <w:szCs w:val="22"/>
              </w:rPr>
            </w:pPr>
            <w:r w:rsidRPr="008A55AC">
              <w:rPr>
                <w:sz w:val="22"/>
                <w:szCs w:val="22"/>
              </w:rPr>
              <w:t>Quarterly</w:t>
            </w:r>
          </w:p>
        </w:tc>
        <w:tc>
          <w:tcPr>
            <w:tcW w:w="0" w:type="auto"/>
            <w:vAlign w:val="center"/>
          </w:tcPr>
          <w:p w14:paraId="45532467" w14:textId="43DAC973" w:rsidR="008A55AC" w:rsidRPr="008A55AC" w:rsidRDefault="008A55AC" w:rsidP="008A55AC">
            <w:pPr>
              <w:rPr>
                <w:sz w:val="22"/>
                <w:szCs w:val="22"/>
              </w:rPr>
            </w:pPr>
            <w:r w:rsidRPr="008A55AC">
              <w:rPr>
                <w:sz w:val="22"/>
                <w:szCs w:val="22"/>
              </w:rPr>
              <w:t>No</w:t>
            </w:r>
          </w:p>
        </w:tc>
      </w:tr>
      <w:tr w:rsidR="008A55AC" w:rsidRPr="005A76C0" w14:paraId="00040562" w14:textId="77777777" w:rsidTr="00B76D98">
        <w:trPr>
          <w:tblCellSpacing w:w="15" w:type="dxa"/>
        </w:trPr>
        <w:tc>
          <w:tcPr>
            <w:tcW w:w="381" w:type="dxa"/>
            <w:vAlign w:val="center"/>
          </w:tcPr>
          <w:p w14:paraId="5912D9E4" w14:textId="3B6F12E6" w:rsidR="008A55AC" w:rsidRPr="008A55AC" w:rsidRDefault="008A55AC" w:rsidP="008A55AC">
            <w:pPr>
              <w:rPr>
                <w:sz w:val="22"/>
                <w:szCs w:val="22"/>
              </w:rPr>
            </w:pPr>
            <w:r w:rsidRPr="008A55AC">
              <w:rPr>
                <w:sz w:val="22"/>
                <w:szCs w:val="22"/>
              </w:rPr>
              <w:t>19</w:t>
            </w:r>
          </w:p>
        </w:tc>
        <w:tc>
          <w:tcPr>
            <w:tcW w:w="6081" w:type="dxa"/>
            <w:vAlign w:val="center"/>
          </w:tcPr>
          <w:p w14:paraId="433DE01C" w14:textId="2F34DE64" w:rsidR="008A55AC" w:rsidRPr="008A55AC" w:rsidRDefault="008A55AC" w:rsidP="008A55AC">
            <w:pPr>
              <w:rPr>
                <w:sz w:val="22"/>
                <w:szCs w:val="22"/>
              </w:rPr>
            </w:pPr>
            <w:r w:rsidRPr="008A55AC">
              <w:rPr>
                <w:sz w:val="22"/>
                <w:szCs w:val="22"/>
              </w:rPr>
              <w:t>Set and own quarterly Rocks for the delivery function</w:t>
            </w:r>
          </w:p>
        </w:tc>
        <w:tc>
          <w:tcPr>
            <w:tcW w:w="0" w:type="auto"/>
            <w:vAlign w:val="center"/>
          </w:tcPr>
          <w:p w14:paraId="37CB7BAC" w14:textId="1A447E31" w:rsidR="008A55AC" w:rsidRPr="008A55AC" w:rsidRDefault="008A55AC" w:rsidP="008A55AC">
            <w:pPr>
              <w:rPr>
                <w:sz w:val="22"/>
                <w:szCs w:val="22"/>
              </w:rPr>
            </w:pPr>
            <w:r w:rsidRPr="008A55AC">
              <w:rPr>
                <w:sz w:val="22"/>
                <w:szCs w:val="22"/>
              </w:rPr>
              <w:t>Quarterly</w:t>
            </w:r>
          </w:p>
        </w:tc>
        <w:tc>
          <w:tcPr>
            <w:tcW w:w="0" w:type="auto"/>
            <w:vAlign w:val="center"/>
          </w:tcPr>
          <w:p w14:paraId="145445BC" w14:textId="50A9EBCD" w:rsidR="008A55AC" w:rsidRPr="008A55AC" w:rsidRDefault="008A55AC" w:rsidP="008A55AC">
            <w:pPr>
              <w:rPr>
                <w:sz w:val="22"/>
                <w:szCs w:val="22"/>
              </w:rPr>
            </w:pPr>
            <w:r w:rsidRPr="008A55AC">
              <w:rPr>
                <w:sz w:val="22"/>
                <w:szCs w:val="22"/>
              </w:rPr>
              <w:t>No</w:t>
            </w:r>
          </w:p>
        </w:tc>
      </w:tr>
      <w:tr w:rsidR="008A55AC" w:rsidRPr="005A76C0" w14:paraId="7BED4AEA" w14:textId="77777777" w:rsidTr="00B76D98">
        <w:trPr>
          <w:tblCellSpacing w:w="15" w:type="dxa"/>
        </w:trPr>
        <w:tc>
          <w:tcPr>
            <w:tcW w:w="381" w:type="dxa"/>
            <w:vAlign w:val="center"/>
          </w:tcPr>
          <w:p w14:paraId="71FF0478" w14:textId="21C7F4B0" w:rsidR="008A55AC" w:rsidRPr="008A55AC" w:rsidRDefault="008A55AC" w:rsidP="008A55AC">
            <w:pPr>
              <w:rPr>
                <w:sz w:val="22"/>
                <w:szCs w:val="22"/>
              </w:rPr>
            </w:pPr>
            <w:r w:rsidRPr="008A55AC">
              <w:rPr>
                <w:sz w:val="22"/>
                <w:szCs w:val="22"/>
              </w:rPr>
              <w:t>20</w:t>
            </w:r>
          </w:p>
        </w:tc>
        <w:tc>
          <w:tcPr>
            <w:tcW w:w="6081" w:type="dxa"/>
            <w:vAlign w:val="center"/>
          </w:tcPr>
          <w:p w14:paraId="5F5B6E85" w14:textId="0F02B5EB" w:rsidR="008A55AC" w:rsidRPr="008A55AC" w:rsidRDefault="008A55AC" w:rsidP="008A55AC">
            <w:pPr>
              <w:rPr>
                <w:sz w:val="22"/>
                <w:szCs w:val="22"/>
              </w:rPr>
            </w:pPr>
            <w:r w:rsidRPr="008A55AC">
              <w:rPr>
                <w:sz w:val="22"/>
                <w:szCs w:val="22"/>
              </w:rPr>
              <w:t>Manage delivery team hiring, onboarding, and performance</w:t>
            </w:r>
          </w:p>
        </w:tc>
        <w:tc>
          <w:tcPr>
            <w:tcW w:w="0" w:type="auto"/>
            <w:vAlign w:val="center"/>
          </w:tcPr>
          <w:p w14:paraId="51ABD921" w14:textId="7609B1C3" w:rsidR="008A55AC" w:rsidRPr="008A55AC" w:rsidRDefault="008A55AC" w:rsidP="008A55AC">
            <w:pPr>
              <w:rPr>
                <w:sz w:val="22"/>
                <w:szCs w:val="22"/>
              </w:rPr>
            </w:pPr>
            <w:r w:rsidRPr="008A55AC">
              <w:rPr>
                <w:sz w:val="22"/>
                <w:szCs w:val="22"/>
              </w:rPr>
              <w:t>Ongoing</w:t>
            </w:r>
          </w:p>
        </w:tc>
        <w:tc>
          <w:tcPr>
            <w:tcW w:w="0" w:type="auto"/>
            <w:vAlign w:val="center"/>
          </w:tcPr>
          <w:p w14:paraId="48B5A7A5" w14:textId="6CF58B49" w:rsidR="008A55AC" w:rsidRPr="008A55AC" w:rsidRDefault="008A55AC" w:rsidP="008A55AC">
            <w:pPr>
              <w:rPr>
                <w:sz w:val="22"/>
                <w:szCs w:val="22"/>
              </w:rPr>
            </w:pPr>
            <w:r w:rsidRPr="008A55AC">
              <w:rPr>
                <w:sz w:val="22"/>
                <w:szCs w:val="22"/>
              </w:rPr>
              <w:t>Partially</w:t>
            </w:r>
          </w:p>
        </w:tc>
      </w:tr>
      <w:tr w:rsidR="008A55AC" w:rsidRPr="005A76C0" w14:paraId="0FEC215A" w14:textId="77777777" w:rsidTr="00B76D98">
        <w:trPr>
          <w:tblCellSpacing w:w="15" w:type="dxa"/>
        </w:trPr>
        <w:tc>
          <w:tcPr>
            <w:tcW w:w="381" w:type="dxa"/>
            <w:vAlign w:val="center"/>
          </w:tcPr>
          <w:p w14:paraId="16C04B02" w14:textId="22ED5CB1" w:rsidR="008A55AC" w:rsidRPr="008A55AC" w:rsidRDefault="008A55AC" w:rsidP="008A55AC">
            <w:pPr>
              <w:rPr>
                <w:sz w:val="22"/>
                <w:szCs w:val="22"/>
              </w:rPr>
            </w:pPr>
            <w:r w:rsidRPr="008A55AC">
              <w:rPr>
                <w:sz w:val="22"/>
                <w:szCs w:val="22"/>
              </w:rPr>
              <w:t>21</w:t>
            </w:r>
          </w:p>
        </w:tc>
        <w:tc>
          <w:tcPr>
            <w:tcW w:w="6081" w:type="dxa"/>
            <w:vAlign w:val="center"/>
          </w:tcPr>
          <w:p w14:paraId="6A0A42CC" w14:textId="0709BECE" w:rsidR="008A55AC" w:rsidRPr="008A55AC" w:rsidRDefault="008A55AC" w:rsidP="008A55AC">
            <w:pPr>
              <w:rPr>
                <w:sz w:val="22"/>
                <w:szCs w:val="22"/>
              </w:rPr>
            </w:pPr>
            <w:r w:rsidRPr="008A55AC">
              <w:rPr>
                <w:sz w:val="22"/>
                <w:szCs w:val="22"/>
              </w:rPr>
              <w:t>Represent operational and customer success constraints in launch planning conversations</w:t>
            </w:r>
          </w:p>
        </w:tc>
        <w:tc>
          <w:tcPr>
            <w:tcW w:w="0" w:type="auto"/>
            <w:vAlign w:val="center"/>
          </w:tcPr>
          <w:p w14:paraId="26B1795B" w14:textId="1BE9A9C6" w:rsidR="008A55AC" w:rsidRPr="008A55AC" w:rsidRDefault="008A55AC" w:rsidP="008A55AC">
            <w:pPr>
              <w:rPr>
                <w:sz w:val="22"/>
                <w:szCs w:val="22"/>
              </w:rPr>
            </w:pPr>
            <w:r w:rsidRPr="008A55AC">
              <w:rPr>
                <w:sz w:val="22"/>
                <w:szCs w:val="22"/>
              </w:rPr>
              <w:t>As needed</w:t>
            </w:r>
          </w:p>
        </w:tc>
        <w:tc>
          <w:tcPr>
            <w:tcW w:w="0" w:type="auto"/>
            <w:vAlign w:val="center"/>
          </w:tcPr>
          <w:p w14:paraId="01896B75" w14:textId="6E22C899" w:rsidR="008A55AC" w:rsidRPr="008A55AC" w:rsidRDefault="008A55AC" w:rsidP="008A55AC">
            <w:pPr>
              <w:rPr>
                <w:sz w:val="22"/>
                <w:szCs w:val="22"/>
              </w:rPr>
            </w:pPr>
            <w:r w:rsidRPr="008A55AC">
              <w:rPr>
                <w:sz w:val="22"/>
                <w:szCs w:val="22"/>
              </w:rPr>
              <w:t>No</w:t>
            </w:r>
          </w:p>
        </w:tc>
      </w:tr>
      <w:tr w:rsidR="008A55AC" w:rsidRPr="005A76C0" w14:paraId="53E0FD6B" w14:textId="77777777" w:rsidTr="00B76D98">
        <w:trPr>
          <w:tblCellSpacing w:w="15" w:type="dxa"/>
        </w:trPr>
        <w:tc>
          <w:tcPr>
            <w:tcW w:w="381" w:type="dxa"/>
            <w:vAlign w:val="center"/>
          </w:tcPr>
          <w:p w14:paraId="0BB4C67F" w14:textId="47769436" w:rsidR="008A55AC" w:rsidRPr="008A55AC" w:rsidRDefault="008A55AC" w:rsidP="008A55AC">
            <w:pPr>
              <w:rPr>
                <w:sz w:val="22"/>
                <w:szCs w:val="22"/>
              </w:rPr>
            </w:pPr>
            <w:r w:rsidRPr="008A55AC">
              <w:rPr>
                <w:sz w:val="22"/>
                <w:szCs w:val="22"/>
              </w:rPr>
              <w:t>22</w:t>
            </w:r>
          </w:p>
        </w:tc>
        <w:tc>
          <w:tcPr>
            <w:tcW w:w="6081" w:type="dxa"/>
            <w:vAlign w:val="center"/>
          </w:tcPr>
          <w:p w14:paraId="312FB321" w14:textId="2B20B48F" w:rsidR="008A55AC" w:rsidRPr="008A55AC" w:rsidRDefault="008A55AC" w:rsidP="008A55AC">
            <w:pPr>
              <w:rPr>
                <w:sz w:val="22"/>
                <w:szCs w:val="22"/>
              </w:rPr>
            </w:pPr>
            <w:r w:rsidRPr="008A55AC">
              <w:rPr>
                <w:sz w:val="22"/>
                <w:szCs w:val="22"/>
              </w:rPr>
              <w:t>Report NRR and Expansion ARR to President &amp; COO</w:t>
            </w:r>
          </w:p>
        </w:tc>
        <w:tc>
          <w:tcPr>
            <w:tcW w:w="0" w:type="auto"/>
            <w:vAlign w:val="center"/>
          </w:tcPr>
          <w:p w14:paraId="0DF7CD49" w14:textId="20BB9CBB" w:rsidR="008A55AC" w:rsidRPr="008A55AC" w:rsidRDefault="008A55AC" w:rsidP="008A55AC">
            <w:pPr>
              <w:rPr>
                <w:sz w:val="22"/>
                <w:szCs w:val="22"/>
              </w:rPr>
            </w:pPr>
            <w:r w:rsidRPr="008A55AC">
              <w:rPr>
                <w:sz w:val="22"/>
                <w:szCs w:val="22"/>
              </w:rPr>
              <w:t>Quarterly</w:t>
            </w:r>
          </w:p>
        </w:tc>
        <w:tc>
          <w:tcPr>
            <w:tcW w:w="0" w:type="auto"/>
            <w:vAlign w:val="center"/>
          </w:tcPr>
          <w:p w14:paraId="768B2A41" w14:textId="5878700C" w:rsidR="008A55AC" w:rsidRPr="008A55AC" w:rsidRDefault="008A55AC" w:rsidP="008A55AC">
            <w:pPr>
              <w:rPr>
                <w:sz w:val="22"/>
                <w:szCs w:val="22"/>
              </w:rPr>
            </w:pPr>
            <w:r w:rsidRPr="008A55AC">
              <w:rPr>
                <w:sz w:val="22"/>
                <w:szCs w:val="22"/>
              </w:rPr>
              <w:t>No</w:t>
            </w:r>
          </w:p>
        </w:tc>
      </w:tr>
      <w:tr w:rsidR="008F58FE" w:rsidRPr="005A76C0" w14:paraId="00112FB8" w14:textId="77777777" w:rsidTr="00B76D98">
        <w:trPr>
          <w:tblCellSpacing w:w="15" w:type="dxa"/>
        </w:trPr>
        <w:tc>
          <w:tcPr>
            <w:tcW w:w="381" w:type="dxa"/>
            <w:vAlign w:val="center"/>
          </w:tcPr>
          <w:p w14:paraId="5ACBA4CC" w14:textId="6529CBEE" w:rsidR="008F58FE" w:rsidRPr="008A55AC" w:rsidRDefault="008F58FE" w:rsidP="008A55AC">
            <w:pPr>
              <w:rPr>
                <w:sz w:val="22"/>
                <w:szCs w:val="22"/>
              </w:rPr>
            </w:pPr>
            <w:r>
              <w:rPr>
                <w:sz w:val="22"/>
                <w:szCs w:val="22"/>
              </w:rPr>
              <w:t>23</w:t>
            </w:r>
          </w:p>
        </w:tc>
        <w:tc>
          <w:tcPr>
            <w:tcW w:w="6081" w:type="dxa"/>
            <w:vAlign w:val="center"/>
          </w:tcPr>
          <w:p w14:paraId="517E0485" w14:textId="47FA9D6F" w:rsidR="008F58FE" w:rsidRPr="008A55AC" w:rsidRDefault="00FB0129" w:rsidP="008A55AC">
            <w:pPr>
              <w:rPr>
                <w:sz w:val="22"/>
                <w:szCs w:val="22"/>
              </w:rPr>
            </w:pPr>
            <w:r w:rsidRPr="00FB0129">
              <w:rPr>
                <w:sz w:val="22"/>
                <w:szCs w:val="22"/>
              </w:rPr>
              <w:t>Manage inside sales and account management pipeline for existing B2B accounts across Safety and Transportation verticals</w:t>
            </w:r>
          </w:p>
        </w:tc>
        <w:tc>
          <w:tcPr>
            <w:tcW w:w="0" w:type="auto"/>
            <w:vAlign w:val="center"/>
          </w:tcPr>
          <w:p w14:paraId="6A80370F" w14:textId="73299C10" w:rsidR="008F58FE" w:rsidRPr="008A55AC" w:rsidRDefault="00FB0129" w:rsidP="008A55AC">
            <w:pPr>
              <w:rPr>
                <w:sz w:val="22"/>
                <w:szCs w:val="22"/>
              </w:rPr>
            </w:pPr>
            <w:r>
              <w:rPr>
                <w:sz w:val="22"/>
                <w:szCs w:val="22"/>
              </w:rPr>
              <w:t>Ongoing</w:t>
            </w:r>
          </w:p>
        </w:tc>
        <w:tc>
          <w:tcPr>
            <w:tcW w:w="0" w:type="auto"/>
            <w:vAlign w:val="center"/>
          </w:tcPr>
          <w:p w14:paraId="53CD24FF" w14:textId="440DF51E" w:rsidR="008F58FE" w:rsidRPr="008A55AC" w:rsidRDefault="00FB0129" w:rsidP="008A55AC">
            <w:pPr>
              <w:rPr>
                <w:sz w:val="22"/>
                <w:szCs w:val="22"/>
              </w:rPr>
            </w:pPr>
            <w:r>
              <w:rPr>
                <w:sz w:val="22"/>
                <w:szCs w:val="22"/>
              </w:rPr>
              <w:t>Partially</w:t>
            </w:r>
          </w:p>
        </w:tc>
      </w:tr>
      <w:tr w:rsidR="008F58FE" w:rsidRPr="005A76C0" w14:paraId="050ED70B" w14:textId="77777777" w:rsidTr="00B76D98">
        <w:trPr>
          <w:tblCellSpacing w:w="15" w:type="dxa"/>
        </w:trPr>
        <w:tc>
          <w:tcPr>
            <w:tcW w:w="381" w:type="dxa"/>
            <w:vAlign w:val="center"/>
          </w:tcPr>
          <w:p w14:paraId="1AEACE18" w14:textId="1837A381" w:rsidR="008F58FE" w:rsidRPr="008A55AC" w:rsidRDefault="00FB0129" w:rsidP="008A55AC">
            <w:pPr>
              <w:rPr>
                <w:sz w:val="22"/>
                <w:szCs w:val="22"/>
              </w:rPr>
            </w:pPr>
            <w:r>
              <w:rPr>
                <w:sz w:val="22"/>
                <w:szCs w:val="22"/>
              </w:rPr>
              <w:t>24</w:t>
            </w:r>
          </w:p>
        </w:tc>
        <w:tc>
          <w:tcPr>
            <w:tcW w:w="6081" w:type="dxa"/>
            <w:vAlign w:val="center"/>
          </w:tcPr>
          <w:p w14:paraId="3CF1341A" w14:textId="1D8445ED" w:rsidR="008F58FE" w:rsidRPr="008A55AC" w:rsidRDefault="00FB0129" w:rsidP="008A55AC">
            <w:pPr>
              <w:rPr>
                <w:sz w:val="22"/>
                <w:szCs w:val="22"/>
              </w:rPr>
            </w:pPr>
            <w:r w:rsidRPr="00FB0129">
              <w:rPr>
                <w:sz w:val="22"/>
                <w:szCs w:val="22"/>
              </w:rPr>
              <w:t>Maintain engagement with client-side training managers and use those relationships to inform customer health and renewal positionin</w:t>
            </w:r>
            <w:r>
              <w:rPr>
                <w:sz w:val="22"/>
                <w:szCs w:val="22"/>
              </w:rPr>
              <w:t>g</w:t>
            </w:r>
          </w:p>
        </w:tc>
        <w:tc>
          <w:tcPr>
            <w:tcW w:w="0" w:type="auto"/>
            <w:vAlign w:val="center"/>
          </w:tcPr>
          <w:p w14:paraId="0C68AAEE" w14:textId="22A584FB" w:rsidR="008F58FE" w:rsidRPr="008A55AC" w:rsidRDefault="00FB0129" w:rsidP="008A55AC">
            <w:pPr>
              <w:rPr>
                <w:sz w:val="22"/>
                <w:szCs w:val="22"/>
              </w:rPr>
            </w:pPr>
            <w:r>
              <w:rPr>
                <w:sz w:val="22"/>
                <w:szCs w:val="22"/>
              </w:rPr>
              <w:t>Ongoing</w:t>
            </w:r>
          </w:p>
        </w:tc>
        <w:tc>
          <w:tcPr>
            <w:tcW w:w="0" w:type="auto"/>
            <w:vAlign w:val="center"/>
          </w:tcPr>
          <w:p w14:paraId="26722C01" w14:textId="61098297" w:rsidR="008F58FE" w:rsidRPr="008A55AC" w:rsidRDefault="00FB0129" w:rsidP="008A55AC">
            <w:pPr>
              <w:rPr>
                <w:sz w:val="22"/>
                <w:szCs w:val="22"/>
              </w:rPr>
            </w:pPr>
            <w:r>
              <w:rPr>
                <w:sz w:val="22"/>
                <w:szCs w:val="22"/>
              </w:rPr>
              <w:t xml:space="preserve">Partially </w:t>
            </w:r>
          </w:p>
        </w:tc>
      </w:tr>
    </w:tbl>
    <w:p w14:paraId="067809E8" w14:textId="59F28110" w:rsidR="00E754D5" w:rsidRPr="005A76C0" w:rsidRDefault="005A76C0" w:rsidP="005A76C0">
      <w:pPr>
        <w:spacing w:before="120" w:after="120" w:line="276" w:lineRule="auto"/>
        <w:rPr>
          <w:sz w:val="22"/>
          <w:szCs w:val="22"/>
        </w:rPr>
      </w:pPr>
      <w:r w:rsidRPr="005A76C0">
        <w:rPr>
          <w:i/>
          <w:iCs/>
          <w:sz w:val="22"/>
          <w:szCs w:val="22"/>
        </w:rPr>
        <w:t xml:space="preserve">We Know Training Inc. EOS Role Scorecard: </w:t>
      </w:r>
      <w:r w:rsidR="00C00D18">
        <w:rPr>
          <w:i/>
          <w:iCs/>
          <w:sz w:val="22"/>
          <w:szCs w:val="22"/>
        </w:rPr>
        <w:t>Head of Delivery</w:t>
      </w:r>
      <w:r w:rsidRPr="005A76C0">
        <w:rPr>
          <w:i/>
          <w:iCs/>
          <w:sz w:val="22"/>
          <w:szCs w:val="22"/>
        </w:rPr>
        <w:t xml:space="preserve"> </w:t>
      </w:r>
    </w:p>
    <w:sectPr w:rsidR="00E754D5" w:rsidRPr="005A76C0" w:rsidSect="008A447C">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A71"/>
    <w:multiLevelType w:val="hybridMultilevel"/>
    <w:tmpl w:val="AEDEFC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3A02E7"/>
    <w:multiLevelType w:val="multilevel"/>
    <w:tmpl w:val="FC0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843D1"/>
    <w:multiLevelType w:val="hybridMultilevel"/>
    <w:tmpl w:val="C7C0B9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45315CA"/>
    <w:multiLevelType w:val="hybridMultilevel"/>
    <w:tmpl w:val="96F81CA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BA677C"/>
    <w:multiLevelType w:val="hybridMultilevel"/>
    <w:tmpl w:val="B5980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1192B8F"/>
    <w:multiLevelType w:val="hybridMultilevel"/>
    <w:tmpl w:val="AD9A6F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4B81201"/>
    <w:multiLevelType w:val="hybridMultilevel"/>
    <w:tmpl w:val="09AA2632"/>
    <w:lvl w:ilvl="0" w:tplc="A05A305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2668835">
    <w:abstractNumId w:val="1"/>
  </w:num>
  <w:num w:numId="2" w16cid:durableId="984626909">
    <w:abstractNumId w:val="5"/>
  </w:num>
  <w:num w:numId="3" w16cid:durableId="1653874477">
    <w:abstractNumId w:val="4"/>
  </w:num>
  <w:num w:numId="4" w16cid:durableId="1749841035">
    <w:abstractNumId w:val="6"/>
  </w:num>
  <w:num w:numId="5" w16cid:durableId="973368709">
    <w:abstractNumId w:val="0"/>
  </w:num>
  <w:num w:numId="6" w16cid:durableId="489248437">
    <w:abstractNumId w:val="2"/>
  </w:num>
  <w:num w:numId="7" w16cid:durableId="429476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C0"/>
    <w:rsid w:val="00055CCB"/>
    <w:rsid w:val="000756F0"/>
    <w:rsid w:val="000F2EB3"/>
    <w:rsid w:val="00142E31"/>
    <w:rsid w:val="002858C0"/>
    <w:rsid w:val="002A7A6A"/>
    <w:rsid w:val="00367887"/>
    <w:rsid w:val="00375FC3"/>
    <w:rsid w:val="0039302D"/>
    <w:rsid w:val="003A4DBB"/>
    <w:rsid w:val="00441192"/>
    <w:rsid w:val="004C23BE"/>
    <w:rsid w:val="005958B4"/>
    <w:rsid w:val="005A76C0"/>
    <w:rsid w:val="005B1A44"/>
    <w:rsid w:val="005E154B"/>
    <w:rsid w:val="00634D0D"/>
    <w:rsid w:val="00793B28"/>
    <w:rsid w:val="008122FE"/>
    <w:rsid w:val="00846169"/>
    <w:rsid w:val="00865C07"/>
    <w:rsid w:val="0088428C"/>
    <w:rsid w:val="008A447C"/>
    <w:rsid w:val="008A55AC"/>
    <w:rsid w:val="008F58FE"/>
    <w:rsid w:val="00936E1A"/>
    <w:rsid w:val="009E5F25"/>
    <w:rsid w:val="00AD4F0A"/>
    <w:rsid w:val="00B217A7"/>
    <w:rsid w:val="00B73431"/>
    <w:rsid w:val="00B76D98"/>
    <w:rsid w:val="00B83B87"/>
    <w:rsid w:val="00C00D18"/>
    <w:rsid w:val="00CD480D"/>
    <w:rsid w:val="00DA12C7"/>
    <w:rsid w:val="00E37B49"/>
    <w:rsid w:val="00E74A68"/>
    <w:rsid w:val="00E754D5"/>
    <w:rsid w:val="00E8559A"/>
    <w:rsid w:val="00ED1C1E"/>
    <w:rsid w:val="00EF4CA7"/>
    <w:rsid w:val="00F46AFF"/>
    <w:rsid w:val="00F87421"/>
    <w:rsid w:val="00FB01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A8CF"/>
  <w15:chartTrackingRefBased/>
  <w15:docId w15:val="{302BE18E-A90B-4CBC-91F3-074A1A7D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7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7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7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7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6C0"/>
    <w:rPr>
      <w:rFonts w:eastAsiaTheme="majorEastAsia" w:cstheme="majorBidi"/>
      <w:color w:val="272727" w:themeColor="text1" w:themeTint="D8"/>
    </w:rPr>
  </w:style>
  <w:style w:type="paragraph" w:styleId="Title">
    <w:name w:val="Title"/>
    <w:basedOn w:val="Normal"/>
    <w:next w:val="Normal"/>
    <w:link w:val="TitleChar"/>
    <w:uiPriority w:val="10"/>
    <w:qFormat/>
    <w:rsid w:val="005A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C0"/>
    <w:pPr>
      <w:spacing w:before="160"/>
      <w:jc w:val="center"/>
    </w:pPr>
    <w:rPr>
      <w:i/>
      <w:iCs/>
      <w:color w:val="404040" w:themeColor="text1" w:themeTint="BF"/>
    </w:rPr>
  </w:style>
  <w:style w:type="character" w:customStyle="1" w:styleId="QuoteChar">
    <w:name w:val="Quote Char"/>
    <w:basedOn w:val="DefaultParagraphFont"/>
    <w:link w:val="Quote"/>
    <w:uiPriority w:val="29"/>
    <w:rsid w:val="005A76C0"/>
    <w:rPr>
      <w:i/>
      <w:iCs/>
      <w:color w:val="404040" w:themeColor="text1" w:themeTint="BF"/>
    </w:rPr>
  </w:style>
  <w:style w:type="paragraph" w:styleId="ListParagraph">
    <w:name w:val="List Paragraph"/>
    <w:basedOn w:val="Normal"/>
    <w:uiPriority w:val="34"/>
    <w:qFormat/>
    <w:rsid w:val="005A76C0"/>
    <w:pPr>
      <w:ind w:left="720"/>
      <w:contextualSpacing/>
    </w:pPr>
  </w:style>
  <w:style w:type="character" w:styleId="IntenseEmphasis">
    <w:name w:val="Intense Emphasis"/>
    <w:basedOn w:val="DefaultParagraphFont"/>
    <w:uiPriority w:val="21"/>
    <w:qFormat/>
    <w:rsid w:val="005A76C0"/>
    <w:rPr>
      <w:i/>
      <w:iCs/>
      <w:color w:val="0F4761" w:themeColor="accent1" w:themeShade="BF"/>
    </w:rPr>
  </w:style>
  <w:style w:type="paragraph" w:styleId="IntenseQuote">
    <w:name w:val="Intense Quote"/>
    <w:basedOn w:val="Normal"/>
    <w:next w:val="Normal"/>
    <w:link w:val="IntenseQuoteChar"/>
    <w:uiPriority w:val="30"/>
    <w:qFormat/>
    <w:rsid w:val="005A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6C0"/>
    <w:rPr>
      <w:i/>
      <w:iCs/>
      <w:color w:val="0F4761" w:themeColor="accent1" w:themeShade="BF"/>
    </w:rPr>
  </w:style>
  <w:style w:type="character" w:styleId="IntenseReference">
    <w:name w:val="Intense Reference"/>
    <w:basedOn w:val="DefaultParagraphFont"/>
    <w:uiPriority w:val="32"/>
    <w:qFormat/>
    <w:rsid w:val="005A7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2306</Words>
  <Characters>13146</Characters>
  <Application>Microsoft Office Word</Application>
  <DocSecurity>0</DocSecurity>
  <Lines>109</Lines>
  <Paragraphs>30</Paragraphs>
  <ScaleCrop>false</ScaleCrop>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38</cp:revision>
  <dcterms:created xsi:type="dcterms:W3CDTF">2026-03-24T02:53:00Z</dcterms:created>
  <dcterms:modified xsi:type="dcterms:W3CDTF">2026-04-05T02:53:00Z</dcterms:modified>
</cp:coreProperties>
</file>