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51A4" w14:textId="62D51ECD" w:rsidR="00F74371" w:rsidRPr="003E7922" w:rsidRDefault="00F74371" w:rsidP="00F74371">
      <w:pPr>
        <w:pStyle w:val="Heading1"/>
        <w:rPr>
          <w:b/>
          <w:bCs/>
        </w:rPr>
      </w:pPr>
      <w:r w:rsidRPr="003E7922">
        <w:rPr>
          <w:b/>
          <w:bCs/>
        </w:rPr>
        <w:t xml:space="preserve">WKT EOS Role Scorecard for </w:t>
      </w:r>
      <w:r w:rsidR="00AF2E3B">
        <w:rPr>
          <w:b/>
          <w:bCs/>
        </w:rPr>
        <w:t xml:space="preserve">Head of Finance &amp; </w:t>
      </w:r>
      <w:r w:rsidR="00836E89">
        <w:rPr>
          <w:b/>
          <w:bCs/>
        </w:rPr>
        <w:t>Administration</w:t>
      </w:r>
    </w:p>
    <w:p w14:paraId="63F17EB1" w14:textId="77777777" w:rsidR="00F74371" w:rsidRDefault="00F74371" w:rsidP="00F74371">
      <w:pPr>
        <w:spacing w:before="120" w:after="120" w:line="276" w:lineRule="auto"/>
        <w:rPr>
          <w:sz w:val="22"/>
          <w:szCs w:val="22"/>
        </w:rPr>
      </w:pPr>
      <w:r w:rsidRPr="00F74371">
        <w:rPr>
          <w:b/>
          <w:bCs/>
          <w:sz w:val="22"/>
          <w:szCs w:val="22"/>
        </w:rPr>
        <w:t>Date Updated:</w:t>
      </w:r>
      <w:r w:rsidRPr="00F74371">
        <w:rPr>
          <w:sz w:val="22"/>
          <w:szCs w:val="22"/>
        </w:rPr>
        <w:t xml:space="preserve"> March 2026 </w:t>
      </w:r>
    </w:p>
    <w:p w14:paraId="3C224048" w14:textId="596E7A46" w:rsidR="00A856D7" w:rsidRDefault="00F74371" w:rsidP="00F74371">
      <w:pPr>
        <w:spacing w:before="120" w:after="120" w:line="276" w:lineRule="auto"/>
        <w:rPr>
          <w:sz w:val="22"/>
          <w:szCs w:val="22"/>
        </w:rPr>
      </w:pPr>
      <w:r w:rsidRPr="00F74371">
        <w:rPr>
          <w:b/>
          <w:bCs/>
          <w:sz w:val="22"/>
          <w:szCs w:val="22"/>
        </w:rPr>
        <w:t>Functional Role:</w:t>
      </w:r>
      <w:r w:rsidRPr="00F74371">
        <w:rPr>
          <w:sz w:val="22"/>
          <w:szCs w:val="22"/>
        </w:rPr>
        <w:t xml:space="preserve"> </w:t>
      </w:r>
      <w:r w:rsidR="00AF2E3B">
        <w:rPr>
          <w:sz w:val="22"/>
          <w:szCs w:val="22"/>
        </w:rPr>
        <w:t xml:space="preserve">Head of Finance &amp; </w:t>
      </w:r>
      <w:r w:rsidR="007A51E4">
        <w:rPr>
          <w:sz w:val="22"/>
          <w:szCs w:val="22"/>
        </w:rPr>
        <w:t>Administration</w:t>
      </w:r>
      <w:r w:rsidRPr="00F74371">
        <w:rPr>
          <w:sz w:val="22"/>
          <w:szCs w:val="22"/>
        </w:rPr>
        <w:t xml:space="preserve"> </w:t>
      </w:r>
    </w:p>
    <w:p w14:paraId="34D4C2AC" w14:textId="77777777" w:rsidR="00A856D7" w:rsidRDefault="00F74371" w:rsidP="00F74371">
      <w:pPr>
        <w:spacing w:before="120" w:after="120" w:line="276" w:lineRule="auto"/>
        <w:rPr>
          <w:sz w:val="22"/>
          <w:szCs w:val="22"/>
        </w:rPr>
      </w:pPr>
      <w:r w:rsidRPr="00F74371">
        <w:rPr>
          <w:b/>
          <w:bCs/>
          <w:sz w:val="22"/>
          <w:szCs w:val="22"/>
        </w:rPr>
        <w:t>Level:</w:t>
      </w:r>
      <w:r w:rsidRPr="00F74371">
        <w:rPr>
          <w:sz w:val="22"/>
          <w:szCs w:val="22"/>
        </w:rPr>
        <w:t xml:space="preserve"> Vice President / Department Lead </w:t>
      </w:r>
    </w:p>
    <w:p w14:paraId="3BE44FB0" w14:textId="0908E20D" w:rsidR="00F74371" w:rsidRDefault="00F74371" w:rsidP="00F74371">
      <w:pPr>
        <w:spacing w:before="120" w:after="120" w:line="276" w:lineRule="auto"/>
        <w:rPr>
          <w:sz w:val="22"/>
          <w:szCs w:val="22"/>
        </w:rPr>
      </w:pPr>
      <w:r w:rsidRPr="00F74371">
        <w:rPr>
          <w:b/>
          <w:bCs/>
          <w:sz w:val="22"/>
          <w:szCs w:val="22"/>
        </w:rPr>
        <w:t>Reports To:</w:t>
      </w:r>
      <w:r w:rsidRPr="00F74371">
        <w:rPr>
          <w:sz w:val="22"/>
          <w:szCs w:val="22"/>
        </w:rPr>
        <w:t xml:space="preserve"> President &amp; COO </w:t>
      </w:r>
    </w:p>
    <w:p w14:paraId="4E39652A" w14:textId="77777777" w:rsidR="00F74371" w:rsidRDefault="00F74371" w:rsidP="00A856D7">
      <w:pPr>
        <w:pStyle w:val="Heading2"/>
      </w:pPr>
      <w:r w:rsidRPr="00F74371">
        <w:t xml:space="preserve">Direct Reports: </w:t>
      </w:r>
    </w:p>
    <w:p w14:paraId="57E84DC1" w14:textId="77777777" w:rsidR="0081684A" w:rsidRDefault="00F74371" w:rsidP="00F74371">
      <w:pPr>
        <w:pStyle w:val="ListParagraph"/>
        <w:numPr>
          <w:ilvl w:val="0"/>
          <w:numId w:val="2"/>
        </w:numPr>
        <w:spacing w:before="120" w:after="120" w:line="276" w:lineRule="auto"/>
        <w:rPr>
          <w:sz w:val="22"/>
          <w:szCs w:val="22"/>
        </w:rPr>
      </w:pPr>
      <w:r w:rsidRPr="00F74371">
        <w:rPr>
          <w:sz w:val="22"/>
          <w:szCs w:val="22"/>
        </w:rPr>
        <w:t>Finance</w:t>
      </w:r>
      <w:r w:rsidR="0081684A" w:rsidRPr="0081684A">
        <w:rPr>
          <w:sz w:val="22"/>
          <w:szCs w:val="22"/>
        </w:rPr>
        <w:t xml:space="preserve"> &amp; Accounting Team </w:t>
      </w:r>
    </w:p>
    <w:p w14:paraId="35623130" w14:textId="77777777" w:rsidR="0081684A" w:rsidRDefault="0081684A" w:rsidP="00F74371">
      <w:pPr>
        <w:pStyle w:val="ListParagraph"/>
        <w:numPr>
          <w:ilvl w:val="0"/>
          <w:numId w:val="2"/>
        </w:numPr>
        <w:spacing w:before="120" w:after="120" w:line="276" w:lineRule="auto"/>
        <w:rPr>
          <w:sz w:val="22"/>
          <w:szCs w:val="22"/>
        </w:rPr>
      </w:pPr>
      <w:r w:rsidRPr="0081684A">
        <w:rPr>
          <w:sz w:val="22"/>
          <w:szCs w:val="22"/>
        </w:rPr>
        <w:t xml:space="preserve">HR &amp; People Operations </w:t>
      </w:r>
    </w:p>
    <w:p w14:paraId="471C640C" w14:textId="77777777" w:rsidR="0081684A" w:rsidRDefault="0081684A" w:rsidP="00F74371">
      <w:pPr>
        <w:pStyle w:val="ListParagraph"/>
        <w:numPr>
          <w:ilvl w:val="0"/>
          <w:numId w:val="2"/>
        </w:numPr>
        <w:spacing w:before="120" w:after="120" w:line="276" w:lineRule="auto"/>
        <w:rPr>
          <w:sz w:val="22"/>
          <w:szCs w:val="22"/>
        </w:rPr>
      </w:pPr>
      <w:r w:rsidRPr="0081684A">
        <w:rPr>
          <w:sz w:val="22"/>
          <w:szCs w:val="22"/>
        </w:rPr>
        <w:t xml:space="preserve">Legal &amp; Compliance </w:t>
      </w:r>
    </w:p>
    <w:p w14:paraId="2920BEB1" w14:textId="77777777" w:rsidR="0081684A" w:rsidRDefault="0081684A" w:rsidP="00F74371">
      <w:pPr>
        <w:pStyle w:val="ListParagraph"/>
        <w:numPr>
          <w:ilvl w:val="0"/>
          <w:numId w:val="2"/>
        </w:numPr>
        <w:spacing w:before="120" w:after="120" w:line="276" w:lineRule="auto"/>
        <w:rPr>
          <w:sz w:val="22"/>
          <w:szCs w:val="22"/>
        </w:rPr>
      </w:pPr>
      <w:r w:rsidRPr="0081684A">
        <w:rPr>
          <w:sz w:val="22"/>
          <w:szCs w:val="22"/>
        </w:rPr>
        <w:t xml:space="preserve">IT Infrastructure </w:t>
      </w:r>
    </w:p>
    <w:p w14:paraId="524946D6" w14:textId="77777777" w:rsidR="0081684A" w:rsidRDefault="0081684A" w:rsidP="00F74371">
      <w:pPr>
        <w:pStyle w:val="ListParagraph"/>
        <w:numPr>
          <w:ilvl w:val="0"/>
          <w:numId w:val="2"/>
        </w:numPr>
        <w:spacing w:before="120" w:after="120" w:line="276" w:lineRule="auto"/>
        <w:rPr>
          <w:sz w:val="22"/>
          <w:szCs w:val="22"/>
        </w:rPr>
      </w:pPr>
      <w:r w:rsidRPr="0081684A">
        <w:rPr>
          <w:sz w:val="22"/>
          <w:szCs w:val="22"/>
        </w:rPr>
        <w:t xml:space="preserve">AI Tools &amp; Automation </w:t>
      </w:r>
    </w:p>
    <w:p w14:paraId="5ECBDA7E" w14:textId="4A419DA3" w:rsidR="00F74371" w:rsidRPr="00F74371" w:rsidRDefault="0081684A" w:rsidP="00F74371">
      <w:pPr>
        <w:pStyle w:val="ListParagraph"/>
        <w:numPr>
          <w:ilvl w:val="0"/>
          <w:numId w:val="2"/>
        </w:numPr>
        <w:spacing w:before="120" w:after="120" w:line="276" w:lineRule="auto"/>
        <w:rPr>
          <w:sz w:val="22"/>
          <w:szCs w:val="22"/>
        </w:rPr>
      </w:pPr>
      <w:r w:rsidRPr="0081684A">
        <w:rPr>
          <w:sz w:val="22"/>
          <w:szCs w:val="22"/>
        </w:rPr>
        <w:t>Executive Administration</w:t>
      </w:r>
    </w:p>
    <w:p w14:paraId="4D89EC6A" w14:textId="613D11EE" w:rsidR="00F74371" w:rsidRPr="00F74371" w:rsidRDefault="00F74371" w:rsidP="00F74371">
      <w:pPr>
        <w:spacing w:before="120" w:after="120" w:line="276" w:lineRule="auto"/>
        <w:rPr>
          <w:sz w:val="22"/>
          <w:szCs w:val="22"/>
        </w:rPr>
      </w:pPr>
    </w:p>
    <w:p w14:paraId="3F3F73C7" w14:textId="77777777" w:rsidR="00F74371" w:rsidRPr="00F74371" w:rsidRDefault="00F74371" w:rsidP="00A856D7">
      <w:pPr>
        <w:pStyle w:val="Heading2"/>
      </w:pPr>
      <w:r w:rsidRPr="00F74371">
        <w:t>Purpose of the Role</w:t>
      </w:r>
    </w:p>
    <w:p w14:paraId="650BA5BF" w14:textId="77777777" w:rsidR="00A46D68" w:rsidRPr="00A46D68" w:rsidRDefault="00A46D68" w:rsidP="00A46D68">
      <w:pPr>
        <w:spacing w:before="120" w:after="120" w:line="276" w:lineRule="auto"/>
        <w:rPr>
          <w:sz w:val="22"/>
          <w:szCs w:val="22"/>
        </w:rPr>
      </w:pPr>
      <w:r w:rsidRPr="00A46D68">
        <w:rPr>
          <w:sz w:val="22"/>
          <w:szCs w:val="22"/>
        </w:rPr>
        <w:t xml:space="preserve">The Head of Finance &amp; Administration keeps WKT standing. This seat owns the enterprise infrastructure that makes everything else possible: the financial intelligence, the people operations, the legal and compliance framework, the technology backbone, and the administrative systems that allow the rest of the business to run with confidence. Where the revenue-facing seats build and grow, this seat protects and </w:t>
      </w:r>
      <w:proofErr w:type="gramStart"/>
      <w:r w:rsidRPr="00A46D68">
        <w:rPr>
          <w:sz w:val="22"/>
          <w:szCs w:val="22"/>
        </w:rPr>
        <w:t>sustains:</w:t>
      </w:r>
      <w:proofErr w:type="gramEnd"/>
      <w:r w:rsidRPr="00A46D68">
        <w:rPr>
          <w:sz w:val="22"/>
          <w:szCs w:val="22"/>
        </w:rPr>
        <w:t xml:space="preserve"> ensuring the numbers are accurate, the controls are sound, the people systems are functioning, and the company is legally and operationally fit to operate at the scale WKT is building toward. The Head of Finance &amp; Administration is not a back-office function; it is the stability layer that earns the trust of the board, the team, and the business itself.</w:t>
      </w:r>
    </w:p>
    <w:p w14:paraId="027DB0BA" w14:textId="77777777" w:rsidR="00537027" w:rsidRPr="00F74371" w:rsidRDefault="00537027" w:rsidP="00F74371">
      <w:pPr>
        <w:spacing w:before="120" w:after="120" w:line="276" w:lineRule="auto"/>
        <w:rPr>
          <w:sz w:val="22"/>
          <w:szCs w:val="22"/>
        </w:rPr>
      </w:pPr>
    </w:p>
    <w:p w14:paraId="3C9C00F9" w14:textId="77777777" w:rsidR="00F74371" w:rsidRPr="00F74371" w:rsidRDefault="00F74371" w:rsidP="00A856D7">
      <w:pPr>
        <w:pStyle w:val="Heading2"/>
      </w:pPr>
      <w:r w:rsidRPr="00F74371">
        <w:t>Key Accountabilities</w:t>
      </w:r>
    </w:p>
    <w:p w14:paraId="59F7E0B3" w14:textId="2B7E4707" w:rsidR="008335FA" w:rsidRPr="008335FA" w:rsidRDefault="00F74371" w:rsidP="008335FA">
      <w:pPr>
        <w:pStyle w:val="ListParagraph"/>
        <w:numPr>
          <w:ilvl w:val="0"/>
          <w:numId w:val="3"/>
        </w:numPr>
        <w:spacing w:before="120" w:after="120" w:line="276" w:lineRule="auto"/>
        <w:rPr>
          <w:sz w:val="22"/>
          <w:szCs w:val="22"/>
        </w:rPr>
      </w:pPr>
      <w:r w:rsidRPr="008335FA">
        <w:rPr>
          <w:sz w:val="22"/>
          <w:szCs w:val="22"/>
        </w:rPr>
        <w:t>Own</w:t>
      </w:r>
      <w:r w:rsidR="008335FA" w:rsidRPr="008335FA">
        <w:rPr>
          <w:sz w:val="22"/>
          <w:szCs w:val="22"/>
        </w:rPr>
        <w:t xml:space="preserve"> financial reporting accuracy and cadence including monthly statements, management reports, and board-level financial narratives delivered on time and without error </w:t>
      </w:r>
    </w:p>
    <w:p w14:paraId="15741E1A" w14:textId="0443B120" w:rsidR="008335FA" w:rsidRPr="008335FA" w:rsidRDefault="008335FA" w:rsidP="008335FA">
      <w:pPr>
        <w:pStyle w:val="ListParagraph"/>
        <w:numPr>
          <w:ilvl w:val="0"/>
          <w:numId w:val="3"/>
        </w:numPr>
        <w:spacing w:before="120" w:after="120" w:line="276" w:lineRule="auto"/>
        <w:rPr>
          <w:sz w:val="22"/>
          <w:szCs w:val="22"/>
        </w:rPr>
      </w:pPr>
      <w:r w:rsidRPr="008335FA">
        <w:rPr>
          <w:sz w:val="22"/>
          <w:szCs w:val="22"/>
        </w:rPr>
        <w:t xml:space="preserve">Own budgeting, forecasting, and decision support including annual budget process, rolling forecast updates, and financial modelling that supports strategic decisions </w:t>
      </w:r>
    </w:p>
    <w:p w14:paraId="22B39494" w14:textId="41140E61" w:rsidR="008335FA" w:rsidRPr="008335FA" w:rsidRDefault="008335FA" w:rsidP="008335FA">
      <w:pPr>
        <w:pStyle w:val="ListParagraph"/>
        <w:numPr>
          <w:ilvl w:val="0"/>
          <w:numId w:val="3"/>
        </w:numPr>
        <w:spacing w:before="120" w:after="120" w:line="276" w:lineRule="auto"/>
        <w:rPr>
          <w:sz w:val="22"/>
          <w:szCs w:val="22"/>
        </w:rPr>
      </w:pPr>
      <w:r w:rsidRPr="008335FA">
        <w:rPr>
          <w:sz w:val="22"/>
          <w:szCs w:val="22"/>
        </w:rPr>
        <w:t xml:space="preserve">Own cash management, accounts receivable, DSO discipline, and operating cash flow visibility </w:t>
      </w:r>
    </w:p>
    <w:p w14:paraId="5E57B008" w14:textId="0059737F" w:rsidR="008335FA" w:rsidRPr="008335FA" w:rsidRDefault="008335FA" w:rsidP="008335FA">
      <w:pPr>
        <w:pStyle w:val="ListParagraph"/>
        <w:numPr>
          <w:ilvl w:val="0"/>
          <w:numId w:val="3"/>
        </w:numPr>
        <w:spacing w:before="120" w:after="120" w:line="276" w:lineRule="auto"/>
        <w:rPr>
          <w:sz w:val="22"/>
          <w:szCs w:val="22"/>
        </w:rPr>
      </w:pPr>
      <w:r w:rsidRPr="008335FA">
        <w:rPr>
          <w:sz w:val="22"/>
          <w:szCs w:val="22"/>
        </w:rPr>
        <w:t xml:space="preserve">Own internal controls, compliance, tax filings, year-end reporting, and risk management across the finance function </w:t>
      </w:r>
    </w:p>
    <w:p w14:paraId="6508FA92" w14:textId="1CAB1CDD" w:rsidR="008335FA" w:rsidRPr="008335FA" w:rsidRDefault="008335FA" w:rsidP="008335FA">
      <w:pPr>
        <w:pStyle w:val="ListParagraph"/>
        <w:numPr>
          <w:ilvl w:val="0"/>
          <w:numId w:val="3"/>
        </w:numPr>
        <w:spacing w:before="120" w:after="120" w:line="276" w:lineRule="auto"/>
        <w:rPr>
          <w:sz w:val="22"/>
          <w:szCs w:val="22"/>
        </w:rPr>
      </w:pPr>
      <w:r w:rsidRPr="008335FA">
        <w:rPr>
          <w:sz w:val="22"/>
          <w:szCs w:val="22"/>
        </w:rPr>
        <w:t xml:space="preserve">Maintain banking relationships and manage operating credit facilities in coordination with the CEO and President &amp; COO </w:t>
      </w:r>
    </w:p>
    <w:p w14:paraId="2481A0D0" w14:textId="4BA66042" w:rsidR="008335FA" w:rsidRPr="008335FA" w:rsidRDefault="008335FA" w:rsidP="008335FA">
      <w:pPr>
        <w:pStyle w:val="ListParagraph"/>
        <w:numPr>
          <w:ilvl w:val="0"/>
          <w:numId w:val="3"/>
        </w:numPr>
        <w:spacing w:before="120" w:after="120" w:line="276" w:lineRule="auto"/>
        <w:rPr>
          <w:sz w:val="22"/>
          <w:szCs w:val="22"/>
        </w:rPr>
      </w:pPr>
      <w:r w:rsidRPr="008335FA">
        <w:rPr>
          <w:sz w:val="22"/>
          <w:szCs w:val="22"/>
        </w:rPr>
        <w:t xml:space="preserve">Identify and secure non-dilutive funding opportunities including government grants, tax credits, and public funding programs that support WKT's growth without equity dilution </w:t>
      </w:r>
    </w:p>
    <w:p w14:paraId="289018C5" w14:textId="77777777" w:rsidR="008702F0" w:rsidRDefault="008702F0" w:rsidP="008335FA">
      <w:pPr>
        <w:pStyle w:val="ListParagraph"/>
        <w:numPr>
          <w:ilvl w:val="0"/>
          <w:numId w:val="3"/>
        </w:numPr>
        <w:spacing w:before="120" w:after="120" w:line="276" w:lineRule="auto"/>
        <w:rPr>
          <w:sz w:val="22"/>
          <w:szCs w:val="22"/>
        </w:rPr>
      </w:pPr>
      <w:r w:rsidRPr="008702F0">
        <w:rPr>
          <w:sz w:val="22"/>
          <w:szCs w:val="22"/>
        </w:rPr>
        <w:lastRenderedPageBreak/>
        <w:t>Own HR and people operations including employment practices, compensation and benefits administration, onboarding and offboarding, and culture infrastructure; own the recruiting and hiring process framework and policy layer across all departments, with department heads responsible for execution within that framework; ensure consistency, compliance, and quality across all hiring activity regardless of where it originates</w:t>
      </w:r>
      <w:r w:rsidRPr="008702F0">
        <w:rPr>
          <w:sz w:val="22"/>
          <w:szCs w:val="22"/>
        </w:rPr>
        <w:t xml:space="preserve"> </w:t>
      </w:r>
    </w:p>
    <w:p w14:paraId="2F7B3D38" w14:textId="64D70963" w:rsidR="00E91A3D" w:rsidRDefault="00E91A3D" w:rsidP="008335FA">
      <w:pPr>
        <w:pStyle w:val="ListParagraph"/>
        <w:numPr>
          <w:ilvl w:val="0"/>
          <w:numId w:val="3"/>
        </w:numPr>
        <w:spacing w:before="120" w:after="120" w:line="276" w:lineRule="auto"/>
        <w:rPr>
          <w:sz w:val="22"/>
          <w:szCs w:val="22"/>
        </w:rPr>
      </w:pPr>
      <w:r w:rsidRPr="00E91A3D">
        <w:rPr>
          <w:sz w:val="22"/>
          <w:szCs w:val="22"/>
        </w:rPr>
        <w:t>Own legal and compliance including all contracts (operational, vendor, and storefront partner agreements), contract renewals and expiry tracking, regulatory filings, corporate governance, and risk management in coordination with external legal counsel; ensure no contract lapses or renews without structured review and appropriate authorization</w:t>
      </w:r>
      <w:r w:rsidRPr="00E91A3D">
        <w:rPr>
          <w:sz w:val="22"/>
          <w:szCs w:val="22"/>
        </w:rPr>
        <w:t xml:space="preserve"> </w:t>
      </w:r>
    </w:p>
    <w:p w14:paraId="6435DF54" w14:textId="64B414FC" w:rsidR="00241473" w:rsidRDefault="00241473" w:rsidP="008335FA">
      <w:pPr>
        <w:pStyle w:val="ListParagraph"/>
        <w:numPr>
          <w:ilvl w:val="0"/>
          <w:numId w:val="3"/>
        </w:numPr>
        <w:spacing w:before="120" w:after="120" w:line="276" w:lineRule="auto"/>
        <w:rPr>
          <w:sz w:val="22"/>
          <w:szCs w:val="22"/>
        </w:rPr>
      </w:pPr>
      <w:r w:rsidRPr="00241473">
        <w:rPr>
          <w:sz w:val="22"/>
          <w:szCs w:val="22"/>
        </w:rPr>
        <w:t>Own policy creation, maintenance, and governance across all enterprise functions: ensure WKT's operational, HR, IT, and compliance policies are documented, current, accessible, and applied consistently; flag policy gaps and propose revisions as the business grows</w:t>
      </w:r>
    </w:p>
    <w:p w14:paraId="598319EE" w14:textId="3AA84398" w:rsidR="008335FA" w:rsidRDefault="008335FA" w:rsidP="008335FA">
      <w:pPr>
        <w:pStyle w:val="ListParagraph"/>
        <w:numPr>
          <w:ilvl w:val="0"/>
          <w:numId w:val="3"/>
        </w:numPr>
        <w:spacing w:before="120" w:after="120" w:line="276" w:lineRule="auto"/>
        <w:rPr>
          <w:sz w:val="22"/>
          <w:szCs w:val="22"/>
        </w:rPr>
      </w:pPr>
      <w:r w:rsidRPr="008335FA">
        <w:rPr>
          <w:sz w:val="22"/>
          <w:szCs w:val="22"/>
        </w:rPr>
        <w:t xml:space="preserve">Own IT infrastructure including internal systems reliability, security, and the technology tools that support the team's day-to-day operations </w:t>
      </w:r>
    </w:p>
    <w:p w14:paraId="66506422" w14:textId="3A18F632" w:rsidR="008702F0" w:rsidRDefault="008702F0" w:rsidP="008335FA">
      <w:pPr>
        <w:pStyle w:val="ListParagraph"/>
        <w:numPr>
          <w:ilvl w:val="0"/>
          <w:numId w:val="3"/>
        </w:numPr>
        <w:spacing w:before="120" w:after="120" w:line="276" w:lineRule="auto"/>
        <w:rPr>
          <w:sz w:val="22"/>
          <w:szCs w:val="22"/>
        </w:rPr>
      </w:pPr>
      <w:r w:rsidRPr="008702F0">
        <w:rPr>
          <w:sz w:val="22"/>
          <w:szCs w:val="22"/>
        </w:rPr>
        <w:t>Own WKT's events and industry presence program: manage event logistics, attendance planning, budgeting, and vendor coordination for industry events across all relevant markets; partner with Demand on collateral requirements and with Revenue on strategic event prioritization</w:t>
      </w:r>
    </w:p>
    <w:p w14:paraId="64DF9BB1" w14:textId="5F76C87F" w:rsidR="0037141A" w:rsidRPr="008335FA" w:rsidRDefault="0037141A" w:rsidP="008335FA">
      <w:pPr>
        <w:pStyle w:val="ListParagraph"/>
        <w:numPr>
          <w:ilvl w:val="0"/>
          <w:numId w:val="3"/>
        </w:numPr>
        <w:spacing w:before="120" w:after="120" w:line="276" w:lineRule="auto"/>
        <w:rPr>
          <w:sz w:val="22"/>
          <w:szCs w:val="22"/>
        </w:rPr>
      </w:pPr>
      <w:r w:rsidRPr="0037141A">
        <w:rPr>
          <w:sz w:val="22"/>
          <w:szCs w:val="22"/>
        </w:rPr>
        <w:t>Own market intelligence and market development research: maintain structured monitoring of WKT's competitive landscape, regulatory environment, and market trends; produce market intelligence outputs that inform leadership strategy and are accessible to the Revenue and Demand functions</w:t>
      </w:r>
    </w:p>
    <w:p w14:paraId="1586A18C" w14:textId="75E7AEC1" w:rsidR="008335FA" w:rsidRPr="008335FA" w:rsidRDefault="008335FA" w:rsidP="008335FA">
      <w:pPr>
        <w:pStyle w:val="ListParagraph"/>
        <w:numPr>
          <w:ilvl w:val="0"/>
          <w:numId w:val="3"/>
        </w:numPr>
        <w:spacing w:before="120" w:after="120" w:line="276" w:lineRule="auto"/>
        <w:rPr>
          <w:sz w:val="22"/>
          <w:szCs w:val="22"/>
        </w:rPr>
      </w:pPr>
      <w:r w:rsidRPr="008335FA">
        <w:rPr>
          <w:sz w:val="22"/>
          <w:szCs w:val="22"/>
        </w:rPr>
        <w:t xml:space="preserve">Govern AI tools and automation adoption across the enterprise support function ensuring WKT's internal operations benefit from the same automation discipline it is building into its revenue function </w:t>
      </w:r>
    </w:p>
    <w:p w14:paraId="0E257AF2" w14:textId="0E925A39" w:rsidR="008B48CF" w:rsidRPr="008335FA" w:rsidRDefault="008335FA" w:rsidP="008335FA">
      <w:pPr>
        <w:pStyle w:val="ListParagraph"/>
        <w:numPr>
          <w:ilvl w:val="0"/>
          <w:numId w:val="3"/>
        </w:numPr>
        <w:spacing w:before="120" w:after="120" w:line="276" w:lineRule="auto"/>
        <w:rPr>
          <w:sz w:val="22"/>
          <w:szCs w:val="22"/>
        </w:rPr>
      </w:pPr>
      <w:r w:rsidRPr="008335FA">
        <w:rPr>
          <w:sz w:val="22"/>
          <w:szCs w:val="22"/>
        </w:rPr>
        <w:t>Provide simple, credible financial narrative to the leadership team and board, translating financial data into language that drives clarity and action</w:t>
      </w:r>
    </w:p>
    <w:p w14:paraId="7EE2A17F" w14:textId="77777777" w:rsidR="008335FA" w:rsidRPr="00F74371" w:rsidRDefault="008335FA" w:rsidP="008335FA">
      <w:pPr>
        <w:spacing w:before="120" w:after="120" w:line="276" w:lineRule="auto"/>
        <w:ind w:left="720"/>
        <w:rPr>
          <w:sz w:val="22"/>
          <w:szCs w:val="22"/>
        </w:rPr>
      </w:pPr>
    </w:p>
    <w:p w14:paraId="30E85419" w14:textId="167D6CD7" w:rsidR="00F74371" w:rsidRPr="00F74371" w:rsidRDefault="00F74371" w:rsidP="00A353EC">
      <w:pPr>
        <w:pStyle w:val="Heading2"/>
      </w:pPr>
      <w:r w:rsidRPr="00F74371">
        <w:t xml:space="preserve">Core Values </w:t>
      </w:r>
      <w:r w:rsidR="00DB412D">
        <w:t>-</w:t>
      </w:r>
      <w:r w:rsidRPr="00F74371">
        <w:t xml:space="preserve"> Role-Specific Behavioural Descriptors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21"/>
        <w:gridCol w:w="7639"/>
      </w:tblGrid>
      <w:tr w:rsidR="00F74371" w:rsidRPr="00F74371" w14:paraId="62B7E5C6" w14:textId="77777777" w:rsidTr="00A353EC">
        <w:trPr>
          <w:tblHeader/>
          <w:tblCellSpacing w:w="15" w:type="dxa"/>
        </w:trPr>
        <w:tc>
          <w:tcPr>
            <w:tcW w:w="0" w:type="auto"/>
            <w:vAlign w:val="center"/>
            <w:hideMark/>
          </w:tcPr>
          <w:p w14:paraId="5BEF10DB" w14:textId="77777777" w:rsidR="00F74371" w:rsidRPr="00F74371" w:rsidRDefault="00F74371" w:rsidP="00F74371">
            <w:pPr>
              <w:spacing w:before="120" w:after="120" w:line="276" w:lineRule="auto"/>
              <w:rPr>
                <w:b/>
                <w:bCs/>
                <w:sz w:val="22"/>
                <w:szCs w:val="22"/>
              </w:rPr>
            </w:pPr>
            <w:r w:rsidRPr="00F74371">
              <w:rPr>
                <w:b/>
                <w:bCs/>
                <w:sz w:val="22"/>
                <w:szCs w:val="22"/>
              </w:rPr>
              <w:t>Core Value</w:t>
            </w:r>
          </w:p>
        </w:tc>
        <w:tc>
          <w:tcPr>
            <w:tcW w:w="0" w:type="auto"/>
            <w:vAlign w:val="center"/>
            <w:hideMark/>
          </w:tcPr>
          <w:p w14:paraId="7D669039" w14:textId="77777777" w:rsidR="00F74371" w:rsidRPr="00F74371" w:rsidRDefault="00F74371" w:rsidP="00F74371">
            <w:pPr>
              <w:spacing w:before="120" w:after="120" w:line="276" w:lineRule="auto"/>
              <w:rPr>
                <w:b/>
                <w:bCs/>
                <w:sz w:val="22"/>
                <w:szCs w:val="22"/>
              </w:rPr>
            </w:pPr>
            <w:r w:rsidRPr="00F74371">
              <w:rPr>
                <w:b/>
                <w:bCs/>
                <w:sz w:val="22"/>
                <w:szCs w:val="22"/>
              </w:rPr>
              <w:t>What This Looks Like in This Seat</w:t>
            </w:r>
          </w:p>
        </w:tc>
      </w:tr>
      <w:tr w:rsidR="00F74371" w:rsidRPr="00F74371" w14:paraId="1F0EF78E" w14:textId="77777777" w:rsidTr="00A353EC">
        <w:trPr>
          <w:tblCellSpacing w:w="15" w:type="dxa"/>
        </w:trPr>
        <w:tc>
          <w:tcPr>
            <w:tcW w:w="0" w:type="auto"/>
            <w:vAlign w:val="center"/>
            <w:hideMark/>
          </w:tcPr>
          <w:p w14:paraId="43F6BB90" w14:textId="77777777" w:rsidR="00F74371" w:rsidRPr="00F74371" w:rsidRDefault="00F74371" w:rsidP="00F74371">
            <w:pPr>
              <w:spacing w:before="120" w:after="120" w:line="276" w:lineRule="auto"/>
              <w:rPr>
                <w:sz w:val="22"/>
                <w:szCs w:val="22"/>
              </w:rPr>
            </w:pPr>
            <w:r w:rsidRPr="00F74371">
              <w:rPr>
                <w:b/>
                <w:bCs/>
                <w:sz w:val="22"/>
                <w:szCs w:val="22"/>
              </w:rPr>
              <w:t>We are Accountable</w:t>
            </w:r>
          </w:p>
        </w:tc>
        <w:tc>
          <w:tcPr>
            <w:tcW w:w="0" w:type="auto"/>
            <w:vAlign w:val="center"/>
            <w:hideMark/>
          </w:tcPr>
          <w:p w14:paraId="6B866CF6" w14:textId="40D87082" w:rsidR="00F74371" w:rsidRPr="00F74371" w:rsidRDefault="003A5909" w:rsidP="00F74371">
            <w:pPr>
              <w:spacing w:before="120" w:after="120" w:line="276" w:lineRule="auto"/>
              <w:rPr>
                <w:sz w:val="22"/>
                <w:szCs w:val="22"/>
              </w:rPr>
            </w:pPr>
            <w:r w:rsidRPr="003A5909">
              <w:rPr>
                <w:sz w:val="22"/>
                <w:szCs w:val="22"/>
              </w:rPr>
              <w:t>Owns reporting accuracy, compliance deadlines, HR commitments, and system uptime as personal commitments</w:t>
            </w:r>
            <w:r>
              <w:rPr>
                <w:sz w:val="22"/>
                <w:szCs w:val="22"/>
              </w:rPr>
              <w:t>,</w:t>
            </w:r>
            <w:r w:rsidRPr="003A5909">
              <w:rPr>
                <w:sz w:val="22"/>
                <w:szCs w:val="22"/>
              </w:rPr>
              <w:t xml:space="preserve"> not departmental aspirations. When a control fails, a filing is late, or a people process breaks down, names it directly and brings the corrective path. Holds the enterprise support team to the same standard across every sub-function this seat carries.</w:t>
            </w:r>
          </w:p>
        </w:tc>
      </w:tr>
      <w:tr w:rsidR="00F74371" w:rsidRPr="00F74371" w14:paraId="3DB8F949" w14:textId="77777777" w:rsidTr="00A353EC">
        <w:trPr>
          <w:tblCellSpacing w:w="15" w:type="dxa"/>
        </w:trPr>
        <w:tc>
          <w:tcPr>
            <w:tcW w:w="0" w:type="auto"/>
            <w:vAlign w:val="center"/>
            <w:hideMark/>
          </w:tcPr>
          <w:p w14:paraId="1C3BC281" w14:textId="77777777" w:rsidR="00F74371" w:rsidRPr="00F74371" w:rsidRDefault="00F74371" w:rsidP="00F74371">
            <w:pPr>
              <w:spacing w:before="120" w:after="120" w:line="276" w:lineRule="auto"/>
              <w:rPr>
                <w:sz w:val="22"/>
                <w:szCs w:val="22"/>
              </w:rPr>
            </w:pPr>
            <w:r w:rsidRPr="00F74371">
              <w:rPr>
                <w:b/>
                <w:bCs/>
                <w:sz w:val="22"/>
                <w:szCs w:val="22"/>
              </w:rPr>
              <w:t>We are Curious</w:t>
            </w:r>
          </w:p>
        </w:tc>
        <w:tc>
          <w:tcPr>
            <w:tcW w:w="0" w:type="auto"/>
            <w:vAlign w:val="center"/>
            <w:hideMark/>
          </w:tcPr>
          <w:p w14:paraId="3BA18004" w14:textId="6A932C39" w:rsidR="00F74371" w:rsidRPr="00F74371" w:rsidRDefault="005C0016" w:rsidP="00F74371">
            <w:pPr>
              <w:spacing w:before="120" w:after="120" w:line="276" w:lineRule="auto"/>
              <w:rPr>
                <w:sz w:val="22"/>
                <w:szCs w:val="22"/>
              </w:rPr>
            </w:pPr>
            <w:r w:rsidRPr="005C0016">
              <w:rPr>
                <w:sz w:val="22"/>
                <w:szCs w:val="22"/>
              </w:rPr>
              <w:t xml:space="preserve">Asks the questions behind the numbers (why a margin is moving, where a cost centre is drifting, what is creating friction in a people process) before presenting data or recommendations. Stays curious about automation tools, system improvements, and operational efficiency approaches that can make the enterprise support function more useful to the business at lower cost. Also </w:t>
            </w:r>
            <w:r w:rsidRPr="005C0016">
              <w:rPr>
                <w:sz w:val="22"/>
                <w:szCs w:val="22"/>
              </w:rPr>
              <w:lastRenderedPageBreak/>
              <w:t>stays informed about non-dilutive funding programs, tax incentives, and government grants that could reduce WKT's cost of growth.</w:t>
            </w:r>
          </w:p>
        </w:tc>
      </w:tr>
      <w:tr w:rsidR="00F74371" w:rsidRPr="00F74371" w14:paraId="1B86A45D" w14:textId="77777777" w:rsidTr="00A353EC">
        <w:trPr>
          <w:tblCellSpacing w:w="15" w:type="dxa"/>
        </w:trPr>
        <w:tc>
          <w:tcPr>
            <w:tcW w:w="0" w:type="auto"/>
            <w:vAlign w:val="center"/>
            <w:hideMark/>
          </w:tcPr>
          <w:p w14:paraId="7C404B92" w14:textId="77777777" w:rsidR="00F74371" w:rsidRPr="00F74371" w:rsidRDefault="00F74371" w:rsidP="00F74371">
            <w:pPr>
              <w:spacing w:before="120" w:after="120" w:line="276" w:lineRule="auto"/>
              <w:rPr>
                <w:sz w:val="22"/>
                <w:szCs w:val="22"/>
              </w:rPr>
            </w:pPr>
            <w:r w:rsidRPr="00F74371">
              <w:rPr>
                <w:b/>
                <w:bCs/>
                <w:sz w:val="22"/>
                <w:szCs w:val="22"/>
              </w:rPr>
              <w:lastRenderedPageBreak/>
              <w:t>We are Driven</w:t>
            </w:r>
          </w:p>
        </w:tc>
        <w:tc>
          <w:tcPr>
            <w:tcW w:w="0" w:type="auto"/>
            <w:vAlign w:val="center"/>
            <w:hideMark/>
          </w:tcPr>
          <w:p w14:paraId="49A00903" w14:textId="362ADE27" w:rsidR="00F74371" w:rsidRPr="00F74371" w:rsidRDefault="00AE5FF8" w:rsidP="00F74371">
            <w:pPr>
              <w:spacing w:before="120" w:after="120" w:line="276" w:lineRule="auto"/>
              <w:rPr>
                <w:sz w:val="22"/>
                <w:szCs w:val="22"/>
              </w:rPr>
            </w:pPr>
            <w:r w:rsidRPr="00AE5FF8">
              <w:rPr>
                <w:sz w:val="22"/>
                <w:szCs w:val="22"/>
              </w:rPr>
              <w:t xml:space="preserve">Maintains close-cycle discipline, reporting cadence, compliance rigour, and people operations quality through the full fiscal year including the periods when the business is moving fast and enterprise support feels like overhead. Pushes to build the infrastructure </w:t>
            </w:r>
            <w:r>
              <w:rPr>
                <w:sz w:val="22"/>
                <w:szCs w:val="22"/>
              </w:rPr>
              <w:t>(</w:t>
            </w:r>
            <w:r w:rsidRPr="00AE5FF8">
              <w:rPr>
                <w:sz w:val="22"/>
                <w:szCs w:val="22"/>
              </w:rPr>
              <w:t>financial, HR, legal, IT</w:t>
            </w:r>
            <w:r>
              <w:rPr>
                <w:sz w:val="22"/>
                <w:szCs w:val="22"/>
              </w:rPr>
              <w:t>)</w:t>
            </w:r>
            <w:r w:rsidRPr="00AE5FF8">
              <w:rPr>
                <w:sz w:val="22"/>
                <w:szCs w:val="22"/>
              </w:rPr>
              <w:t xml:space="preserve"> that WKT will need at $26M and beyond, not just what works today.</w:t>
            </w:r>
          </w:p>
        </w:tc>
      </w:tr>
      <w:tr w:rsidR="00F74371" w:rsidRPr="00F74371" w14:paraId="1C4F1722" w14:textId="77777777" w:rsidTr="00A353EC">
        <w:trPr>
          <w:tblCellSpacing w:w="15" w:type="dxa"/>
        </w:trPr>
        <w:tc>
          <w:tcPr>
            <w:tcW w:w="0" w:type="auto"/>
            <w:vAlign w:val="center"/>
            <w:hideMark/>
          </w:tcPr>
          <w:p w14:paraId="175C4952" w14:textId="77777777" w:rsidR="00F74371" w:rsidRPr="00F74371" w:rsidRDefault="00F74371" w:rsidP="00F74371">
            <w:pPr>
              <w:spacing w:before="120" w:after="120" w:line="276" w:lineRule="auto"/>
              <w:rPr>
                <w:sz w:val="22"/>
                <w:szCs w:val="22"/>
              </w:rPr>
            </w:pPr>
            <w:r w:rsidRPr="00F74371">
              <w:rPr>
                <w:b/>
                <w:bCs/>
                <w:sz w:val="22"/>
                <w:szCs w:val="22"/>
              </w:rPr>
              <w:t>We are Nimble</w:t>
            </w:r>
          </w:p>
        </w:tc>
        <w:tc>
          <w:tcPr>
            <w:tcW w:w="0" w:type="auto"/>
            <w:vAlign w:val="center"/>
            <w:hideMark/>
          </w:tcPr>
          <w:p w14:paraId="4A7597D8" w14:textId="3574E59C" w:rsidR="00F74371" w:rsidRPr="00F74371" w:rsidRDefault="00AE5FF8" w:rsidP="00F74371">
            <w:pPr>
              <w:spacing w:before="120" w:after="120" w:line="276" w:lineRule="auto"/>
              <w:rPr>
                <w:sz w:val="22"/>
                <w:szCs w:val="22"/>
              </w:rPr>
            </w:pPr>
            <w:r w:rsidRPr="00AE5FF8">
              <w:rPr>
                <w:sz w:val="22"/>
                <w:szCs w:val="22"/>
              </w:rPr>
              <w:t>Responds quickly when the business needs financial input, a contract reviewed, a new hire onboarded, or a compliance question answered for a time-sensitive decision without sacrificing accuracy or rigour. Adjusts across all sub-functions fluidly as business needs shift, without treating every cross-functional request as a major project.</w:t>
            </w:r>
          </w:p>
        </w:tc>
      </w:tr>
      <w:tr w:rsidR="00F74371" w:rsidRPr="00F74371" w14:paraId="711F4E7B" w14:textId="77777777" w:rsidTr="00A353EC">
        <w:trPr>
          <w:tblCellSpacing w:w="15" w:type="dxa"/>
        </w:trPr>
        <w:tc>
          <w:tcPr>
            <w:tcW w:w="0" w:type="auto"/>
            <w:vAlign w:val="center"/>
            <w:hideMark/>
          </w:tcPr>
          <w:p w14:paraId="213728C7" w14:textId="77777777" w:rsidR="00F74371" w:rsidRPr="00F74371" w:rsidRDefault="00F74371" w:rsidP="00F74371">
            <w:pPr>
              <w:spacing w:before="120" w:after="120" w:line="276" w:lineRule="auto"/>
              <w:rPr>
                <w:sz w:val="22"/>
                <w:szCs w:val="22"/>
              </w:rPr>
            </w:pPr>
            <w:r w:rsidRPr="00F74371">
              <w:rPr>
                <w:b/>
                <w:bCs/>
                <w:sz w:val="22"/>
                <w:szCs w:val="22"/>
              </w:rPr>
              <w:t>We are Relationship-focused</w:t>
            </w:r>
          </w:p>
        </w:tc>
        <w:tc>
          <w:tcPr>
            <w:tcW w:w="0" w:type="auto"/>
            <w:vAlign w:val="center"/>
            <w:hideMark/>
          </w:tcPr>
          <w:p w14:paraId="5C242153" w14:textId="42010F2D" w:rsidR="00F74371" w:rsidRPr="00F74371" w:rsidRDefault="00DB45D6" w:rsidP="00F74371">
            <w:pPr>
              <w:spacing w:before="120" w:after="120" w:line="276" w:lineRule="auto"/>
              <w:rPr>
                <w:sz w:val="22"/>
                <w:szCs w:val="22"/>
              </w:rPr>
            </w:pPr>
            <w:r w:rsidRPr="00DB45D6">
              <w:rPr>
                <w:sz w:val="22"/>
                <w:szCs w:val="22"/>
              </w:rPr>
              <w:t>Builds the internal trust that makes finance, HR, legal, and IT functions people want to bring problems to rather than avoid. Understands that enterprise support is most effective when the people it serves feel supported, not managed. Maintains credible, professional relationships with external accountants, legal counsel, financial institutions, government program contacts, and investor stakeholders.</w:t>
            </w:r>
          </w:p>
        </w:tc>
      </w:tr>
    </w:tbl>
    <w:p w14:paraId="5912C303" w14:textId="7F1E876A" w:rsidR="00F74371" w:rsidRPr="00F74371" w:rsidRDefault="00F74371" w:rsidP="00F74371">
      <w:pPr>
        <w:spacing w:before="120" w:after="120" w:line="276" w:lineRule="auto"/>
        <w:rPr>
          <w:sz w:val="22"/>
          <w:szCs w:val="22"/>
        </w:rPr>
      </w:pPr>
    </w:p>
    <w:p w14:paraId="3FD02D85" w14:textId="51CF1A1A" w:rsidR="00F74371" w:rsidRPr="00F74371" w:rsidRDefault="00F74371" w:rsidP="00CE1E24">
      <w:pPr>
        <w:pStyle w:val="Heading2"/>
      </w:pPr>
      <w:r w:rsidRPr="00F74371">
        <w:t xml:space="preserve">GWC </w:t>
      </w:r>
      <w:r w:rsidR="00CE1E24">
        <w:t>-</w:t>
      </w:r>
      <w:r w:rsidRPr="00F74371">
        <w:t xml:space="preserve"> Seat-Specific Descriptors</w:t>
      </w:r>
    </w:p>
    <w:p w14:paraId="708E64DF" w14:textId="77777777" w:rsidR="00CE1E24" w:rsidRDefault="00F74371" w:rsidP="00CE1E24">
      <w:pPr>
        <w:pStyle w:val="Heading3"/>
      </w:pPr>
      <w:r w:rsidRPr="00F74371">
        <w:t xml:space="preserve">Gets It </w:t>
      </w:r>
    </w:p>
    <w:p w14:paraId="6D225842" w14:textId="77777777" w:rsidR="00DB45D6" w:rsidRPr="00DB45D6" w:rsidRDefault="00DB45D6" w:rsidP="00DB45D6">
      <w:pPr>
        <w:rPr>
          <w:sz w:val="22"/>
          <w:szCs w:val="22"/>
        </w:rPr>
      </w:pPr>
      <w:r w:rsidRPr="00DB45D6">
        <w:rPr>
          <w:sz w:val="22"/>
          <w:szCs w:val="22"/>
        </w:rPr>
        <w:t xml:space="preserve">The Head of Finance &amp; Administration understands that this seat exists to keep WKT operationally trustworthy across every dimension that does not generate revenue directly but makes revenue possible sustainably. They get the breadth of what this seat carries: the financial intelligence, people systems, legal and compliance, IT infrastructure, and AI tools governance, and understand that each sub-function requires a different kind of rigour and a different relationship with the people it serves. They understand that at WKT's current stage, this is an active-build seat in every dimension: the financial infrastructure, the people systems, the compliance frameworks, and the IT foundation all need to be built for the company WKT is becoming, not just maintained for the company it is today. They get that banking relationships and non-dilutive funding are not administrative tasks; they are strategic responsibilities that directly affect WKT's capital position and growth capacity. They get that board confidence, team trust, and operational resilience are all outcomes that flow from this seat and that none of them are visible until they are missing. </w:t>
      </w:r>
      <w:r w:rsidRPr="00DB45D6">
        <w:rPr>
          <w:i/>
          <w:iCs/>
          <w:sz w:val="22"/>
          <w:szCs w:val="22"/>
        </w:rPr>
        <w:t>(For full GWC behavioural indicators and warning signs, see the GWC Descriptors document.)</w:t>
      </w:r>
    </w:p>
    <w:p w14:paraId="03DD2057" w14:textId="77777777" w:rsidR="00EA0573" w:rsidRDefault="00EA0573">
      <w:pPr>
        <w:rPr>
          <w:rFonts w:eastAsiaTheme="majorEastAsia" w:cstheme="majorBidi"/>
          <w:color w:val="0F4761" w:themeColor="accent1" w:themeShade="BF"/>
          <w:sz w:val="28"/>
          <w:szCs w:val="28"/>
        </w:rPr>
      </w:pPr>
      <w:r>
        <w:br w:type="page"/>
      </w:r>
    </w:p>
    <w:p w14:paraId="15C2CD1E" w14:textId="4A1ADEAB" w:rsidR="00CE1E24" w:rsidRDefault="00F74371" w:rsidP="001E11BD">
      <w:pPr>
        <w:pStyle w:val="Heading3"/>
      </w:pPr>
      <w:r w:rsidRPr="00F74371">
        <w:lastRenderedPageBreak/>
        <w:t xml:space="preserve">Wants It </w:t>
      </w:r>
    </w:p>
    <w:p w14:paraId="751D81BA" w14:textId="77777777" w:rsidR="007D64D5" w:rsidRPr="007D64D5" w:rsidRDefault="007D64D5" w:rsidP="007D64D5">
      <w:pPr>
        <w:rPr>
          <w:sz w:val="22"/>
          <w:szCs w:val="22"/>
        </w:rPr>
      </w:pPr>
      <w:r w:rsidRPr="007D64D5">
        <w:rPr>
          <w:sz w:val="22"/>
          <w:szCs w:val="22"/>
        </w:rPr>
        <w:t>This seat requires genuine appetite for breadth: the ability to hold financial close cycles, HR policy conversations, contract reviews, IT reliability, and AI tools governance simultaneously without dropping quality in any of them. The person who truly wants this role is energized by the full scope: not just the financial modelling and the board narrative, but the employment practice conversation, the vendor contract negotiation, the IT security governance, the non-dilutive funding research, and the automation opportunity that makes the whole function more efficient. They must want to have the difficult budget conversation with a department head who is running over plan, the honest compensation conversation when market rates have shifted, the compliance conversation when a process is creating legal risk, and the IT conversation when a system is creating operational fragility. Enterprise support at WKT is not a steady-state maintenance portfolio; it is an active-build responsibility across five distinct domains, and the person who truly wants this seat must be energized by that complexity, not flattened by it.</w:t>
      </w:r>
    </w:p>
    <w:p w14:paraId="415AC0EC" w14:textId="77777777" w:rsidR="001E11BD" w:rsidRDefault="00F74371" w:rsidP="001E11BD">
      <w:pPr>
        <w:pStyle w:val="Heading3"/>
      </w:pPr>
      <w:r w:rsidRPr="00F74371">
        <w:t xml:space="preserve">Capacity to Do It </w:t>
      </w:r>
    </w:p>
    <w:p w14:paraId="1CA1F935" w14:textId="726C67DF" w:rsidR="00F74371" w:rsidRPr="00F74371" w:rsidRDefault="00F74371" w:rsidP="00F74371">
      <w:pPr>
        <w:spacing w:before="120" w:after="120" w:line="276" w:lineRule="auto"/>
        <w:rPr>
          <w:sz w:val="22"/>
          <w:szCs w:val="22"/>
        </w:rPr>
      </w:pPr>
      <w:r w:rsidRPr="00F74371">
        <w:rPr>
          <w:sz w:val="22"/>
          <w:szCs w:val="22"/>
        </w:rPr>
        <w:t xml:space="preserve">The </w:t>
      </w:r>
      <w:r w:rsidR="009B50B0">
        <w:rPr>
          <w:sz w:val="22"/>
          <w:szCs w:val="22"/>
        </w:rPr>
        <w:t>Head of</w:t>
      </w:r>
      <w:r w:rsidR="004B2418" w:rsidRPr="004B2418">
        <w:rPr>
          <w:sz w:val="22"/>
          <w:szCs w:val="22"/>
        </w:rPr>
        <w:t xml:space="preserve"> Finance &amp; Operations must be able to lead five distinct sub-functions </w:t>
      </w:r>
      <w:r w:rsidR="00BB7C85">
        <w:rPr>
          <w:sz w:val="22"/>
          <w:szCs w:val="22"/>
        </w:rPr>
        <w:t>of</w:t>
      </w:r>
      <w:r w:rsidR="004B2418" w:rsidRPr="004B2418">
        <w:rPr>
          <w:sz w:val="22"/>
          <w:szCs w:val="22"/>
        </w:rPr>
        <w:t xml:space="preserve"> Finance &amp; Accounting, HR &amp; People Operations, Legal &amp; Compliance, IT Infrastructure, and AI Tools &amp; Automation</w:t>
      </w:r>
      <w:r w:rsidR="00BB7C85">
        <w:rPr>
          <w:sz w:val="22"/>
          <w:szCs w:val="22"/>
        </w:rPr>
        <w:t>,</w:t>
      </w:r>
      <w:r w:rsidR="004B2418" w:rsidRPr="004B2418">
        <w:rPr>
          <w:sz w:val="22"/>
          <w:szCs w:val="22"/>
        </w:rPr>
        <w:t xml:space="preserve"> simultaneously, with the depth to make sound decisions in each and the leadership range to manage a diverse team, coordinate effectively with every other function, and represent enterprise health clearly at the leadership table. The seat requires both deep technical competence in finance (CA/CPA level) and the operational and people leadership range to govern HR, legal, and IT effectively. WKT's multi-division structure, investor and board reporting obligations, and growth trajectory toward $26M create enterprise support complexity that will only increase. Capacity here includes the ability to manage current operating demands while building the infrastructure and automation capability required for the next stage of scale across all five domains.</w:t>
      </w:r>
    </w:p>
    <w:p w14:paraId="0CE2153D" w14:textId="31C6B859" w:rsidR="00F74371" w:rsidRPr="00F74371" w:rsidRDefault="00F74371" w:rsidP="00F74371">
      <w:pPr>
        <w:spacing w:before="120" w:after="120" w:line="276" w:lineRule="auto"/>
        <w:rPr>
          <w:sz w:val="22"/>
          <w:szCs w:val="22"/>
        </w:rPr>
      </w:pPr>
    </w:p>
    <w:p w14:paraId="5855745D" w14:textId="77777777" w:rsidR="00F74371" w:rsidRPr="00F74371" w:rsidRDefault="00F74371" w:rsidP="001E11BD">
      <w:pPr>
        <w:pStyle w:val="Heading2"/>
      </w:pPr>
      <w:r w:rsidRPr="00F74371">
        <w:t>Weekly Measurables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678"/>
        <w:gridCol w:w="1418"/>
        <w:gridCol w:w="1559"/>
        <w:gridCol w:w="1705"/>
      </w:tblGrid>
      <w:tr w:rsidR="00F74371" w:rsidRPr="00F74371" w14:paraId="2C1C521D" w14:textId="77777777" w:rsidTr="001E11BD">
        <w:trPr>
          <w:tblHeader/>
          <w:tblCellSpacing w:w="15" w:type="dxa"/>
        </w:trPr>
        <w:tc>
          <w:tcPr>
            <w:tcW w:w="4633" w:type="dxa"/>
            <w:vAlign w:val="center"/>
            <w:hideMark/>
          </w:tcPr>
          <w:p w14:paraId="615DFE42" w14:textId="77777777" w:rsidR="00F74371" w:rsidRPr="00F74371" w:rsidRDefault="00F74371" w:rsidP="00F74371">
            <w:pPr>
              <w:spacing w:before="120" w:after="120" w:line="276" w:lineRule="auto"/>
              <w:rPr>
                <w:b/>
                <w:bCs/>
                <w:sz w:val="22"/>
                <w:szCs w:val="22"/>
              </w:rPr>
            </w:pPr>
            <w:r w:rsidRPr="00F74371">
              <w:rPr>
                <w:b/>
                <w:bCs/>
                <w:sz w:val="22"/>
                <w:szCs w:val="22"/>
              </w:rPr>
              <w:t>Measurable</w:t>
            </w:r>
          </w:p>
        </w:tc>
        <w:tc>
          <w:tcPr>
            <w:tcW w:w="1388" w:type="dxa"/>
            <w:vAlign w:val="center"/>
            <w:hideMark/>
          </w:tcPr>
          <w:p w14:paraId="6DF00816" w14:textId="77777777" w:rsidR="00F74371" w:rsidRPr="00F74371" w:rsidRDefault="00F74371" w:rsidP="00F74371">
            <w:pPr>
              <w:spacing w:before="120" w:after="120" w:line="276" w:lineRule="auto"/>
              <w:rPr>
                <w:b/>
                <w:bCs/>
                <w:sz w:val="22"/>
                <w:szCs w:val="22"/>
              </w:rPr>
            </w:pPr>
            <w:r w:rsidRPr="00F74371">
              <w:rPr>
                <w:b/>
                <w:bCs/>
                <w:sz w:val="22"/>
                <w:szCs w:val="22"/>
              </w:rPr>
              <w:t>Green</w:t>
            </w:r>
          </w:p>
        </w:tc>
        <w:tc>
          <w:tcPr>
            <w:tcW w:w="1529" w:type="dxa"/>
            <w:vAlign w:val="center"/>
            <w:hideMark/>
          </w:tcPr>
          <w:p w14:paraId="2C73133A" w14:textId="77777777" w:rsidR="00F74371" w:rsidRPr="00F74371" w:rsidRDefault="00F74371" w:rsidP="00F74371">
            <w:pPr>
              <w:spacing w:before="120" w:after="120" w:line="276" w:lineRule="auto"/>
              <w:rPr>
                <w:b/>
                <w:bCs/>
                <w:sz w:val="22"/>
                <w:szCs w:val="22"/>
              </w:rPr>
            </w:pPr>
            <w:r w:rsidRPr="00F74371">
              <w:rPr>
                <w:b/>
                <w:bCs/>
                <w:sz w:val="22"/>
                <w:szCs w:val="22"/>
              </w:rPr>
              <w:t>Yellow</w:t>
            </w:r>
          </w:p>
        </w:tc>
        <w:tc>
          <w:tcPr>
            <w:tcW w:w="1660" w:type="dxa"/>
            <w:vAlign w:val="center"/>
            <w:hideMark/>
          </w:tcPr>
          <w:p w14:paraId="55B56CD0" w14:textId="77777777" w:rsidR="00F74371" w:rsidRPr="00F74371" w:rsidRDefault="00F74371" w:rsidP="00F74371">
            <w:pPr>
              <w:spacing w:before="120" w:after="120" w:line="276" w:lineRule="auto"/>
              <w:rPr>
                <w:b/>
                <w:bCs/>
                <w:sz w:val="22"/>
                <w:szCs w:val="22"/>
              </w:rPr>
            </w:pPr>
            <w:r w:rsidRPr="00F74371">
              <w:rPr>
                <w:b/>
                <w:bCs/>
                <w:sz w:val="22"/>
                <w:szCs w:val="22"/>
              </w:rPr>
              <w:t>Red</w:t>
            </w:r>
          </w:p>
        </w:tc>
      </w:tr>
      <w:tr w:rsidR="00F74371" w:rsidRPr="00F74371" w14:paraId="1FA26D80" w14:textId="77777777" w:rsidTr="001E11BD">
        <w:trPr>
          <w:tblCellSpacing w:w="15" w:type="dxa"/>
        </w:trPr>
        <w:tc>
          <w:tcPr>
            <w:tcW w:w="4633" w:type="dxa"/>
            <w:vAlign w:val="center"/>
            <w:hideMark/>
          </w:tcPr>
          <w:p w14:paraId="5586E140" w14:textId="7B7D4DFB" w:rsidR="00F74371" w:rsidRPr="00F74371" w:rsidRDefault="004811AC" w:rsidP="00F74371">
            <w:pPr>
              <w:spacing w:before="120" w:after="120" w:line="276" w:lineRule="auto"/>
              <w:rPr>
                <w:sz w:val="22"/>
                <w:szCs w:val="22"/>
              </w:rPr>
            </w:pPr>
            <w:r w:rsidRPr="004811AC">
              <w:rPr>
                <w:sz w:val="22"/>
                <w:szCs w:val="22"/>
              </w:rPr>
              <w:t>Financial reporting cadence (monthly statements and management reports delivered on committed date)</w:t>
            </w:r>
          </w:p>
        </w:tc>
        <w:tc>
          <w:tcPr>
            <w:tcW w:w="1388" w:type="dxa"/>
            <w:vAlign w:val="center"/>
            <w:hideMark/>
          </w:tcPr>
          <w:p w14:paraId="327C2F5D" w14:textId="77777777" w:rsidR="00F74371" w:rsidRPr="00F74371" w:rsidRDefault="00F74371" w:rsidP="00F74371">
            <w:pPr>
              <w:spacing w:before="120" w:after="120" w:line="276" w:lineRule="auto"/>
              <w:rPr>
                <w:sz w:val="22"/>
                <w:szCs w:val="22"/>
              </w:rPr>
            </w:pPr>
            <w:r w:rsidRPr="00F74371">
              <w:rPr>
                <w:sz w:val="22"/>
                <w:szCs w:val="22"/>
              </w:rPr>
              <w:t>100% on time</w:t>
            </w:r>
          </w:p>
        </w:tc>
        <w:tc>
          <w:tcPr>
            <w:tcW w:w="1529" w:type="dxa"/>
            <w:vAlign w:val="center"/>
            <w:hideMark/>
          </w:tcPr>
          <w:p w14:paraId="6131D7D4" w14:textId="77777777" w:rsidR="00F74371" w:rsidRPr="00F74371" w:rsidRDefault="00F74371" w:rsidP="00F74371">
            <w:pPr>
              <w:spacing w:before="120" w:after="120" w:line="276" w:lineRule="auto"/>
              <w:rPr>
                <w:sz w:val="22"/>
                <w:szCs w:val="22"/>
              </w:rPr>
            </w:pPr>
            <w:r w:rsidRPr="00F74371">
              <w:rPr>
                <w:sz w:val="22"/>
                <w:szCs w:val="22"/>
              </w:rPr>
              <w:t>1–2 days late</w:t>
            </w:r>
          </w:p>
        </w:tc>
        <w:tc>
          <w:tcPr>
            <w:tcW w:w="1660" w:type="dxa"/>
            <w:vAlign w:val="center"/>
            <w:hideMark/>
          </w:tcPr>
          <w:p w14:paraId="5031C013" w14:textId="77777777" w:rsidR="00F74371" w:rsidRPr="00F74371" w:rsidRDefault="00F74371" w:rsidP="00F74371">
            <w:pPr>
              <w:spacing w:before="120" w:after="120" w:line="276" w:lineRule="auto"/>
              <w:rPr>
                <w:sz w:val="22"/>
                <w:szCs w:val="22"/>
              </w:rPr>
            </w:pPr>
            <w:r w:rsidRPr="00F74371">
              <w:rPr>
                <w:sz w:val="22"/>
                <w:szCs w:val="22"/>
              </w:rPr>
              <w:t>3+ days late or missed</w:t>
            </w:r>
          </w:p>
        </w:tc>
      </w:tr>
      <w:tr w:rsidR="00F74371" w:rsidRPr="00F74371" w14:paraId="62316B86" w14:textId="77777777" w:rsidTr="001E11BD">
        <w:trPr>
          <w:tblCellSpacing w:w="15" w:type="dxa"/>
        </w:trPr>
        <w:tc>
          <w:tcPr>
            <w:tcW w:w="4633" w:type="dxa"/>
            <w:vAlign w:val="center"/>
            <w:hideMark/>
          </w:tcPr>
          <w:p w14:paraId="354F7DC0" w14:textId="77777777" w:rsidR="00F74371" w:rsidRPr="00F74371" w:rsidRDefault="00F74371" w:rsidP="00F74371">
            <w:pPr>
              <w:spacing w:before="120" w:after="120" w:line="276" w:lineRule="auto"/>
              <w:rPr>
                <w:sz w:val="22"/>
                <w:szCs w:val="22"/>
              </w:rPr>
            </w:pPr>
            <w:r w:rsidRPr="00F74371">
              <w:rPr>
                <w:sz w:val="22"/>
                <w:szCs w:val="22"/>
              </w:rPr>
              <w:t>Accounts receivable / DSO (days sales outstanding against target, reviewed weekly for aging trends)</w:t>
            </w:r>
          </w:p>
        </w:tc>
        <w:tc>
          <w:tcPr>
            <w:tcW w:w="1388" w:type="dxa"/>
            <w:vAlign w:val="center"/>
            <w:hideMark/>
          </w:tcPr>
          <w:p w14:paraId="4597F5B5" w14:textId="77777777" w:rsidR="00F74371" w:rsidRPr="00F74371" w:rsidRDefault="00F74371" w:rsidP="00F74371">
            <w:pPr>
              <w:spacing w:before="120" w:after="120" w:line="276" w:lineRule="auto"/>
              <w:rPr>
                <w:sz w:val="22"/>
                <w:szCs w:val="22"/>
              </w:rPr>
            </w:pPr>
            <w:r w:rsidRPr="00F74371">
              <w:rPr>
                <w:sz w:val="22"/>
                <w:szCs w:val="22"/>
              </w:rPr>
              <w:t>At or below DSO target</w:t>
            </w:r>
          </w:p>
        </w:tc>
        <w:tc>
          <w:tcPr>
            <w:tcW w:w="1529" w:type="dxa"/>
            <w:vAlign w:val="center"/>
            <w:hideMark/>
          </w:tcPr>
          <w:p w14:paraId="71B9FB1D" w14:textId="77777777" w:rsidR="00F74371" w:rsidRPr="00F74371" w:rsidRDefault="00F74371" w:rsidP="00F74371">
            <w:pPr>
              <w:spacing w:before="120" w:after="120" w:line="276" w:lineRule="auto"/>
              <w:rPr>
                <w:sz w:val="22"/>
                <w:szCs w:val="22"/>
              </w:rPr>
            </w:pPr>
            <w:r w:rsidRPr="00F74371">
              <w:rPr>
                <w:sz w:val="22"/>
                <w:szCs w:val="22"/>
              </w:rPr>
              <w:t>1–5 days above target</w:t>
            </w:r>
          </w:p>
        </w:tc>
        <w:tc>
          <w:tcPr>
            <w:tcW w:w="1660" w:type="dxa"/>
            <w:vAlign w:val="center"/>
            <w:hideMark/>
          </w:tcPr>
          <w:p w14:paraId="06E389FD" w14:textId="77777777" w:rsidR="00F74371" w:rsidRPr="00F74371" w:rsidRDefault="00F74371" w:rsidP="00F74371">
            <w:pPr>
              <w:spacing w:before="120" w:after="120" w:line="276" w:lineRule="auto"/>
              <w:rPr>
                <w:sz w:val="22"/>
                <w:szCs w:val="22"/>
              </w:rPr>
            </w:pPr>
            <w:r w:rsidRPr="00F74371">
              <w:rPr>
                <w:sz w:val="22"/>
                <w:szCs w:val="22"/>
              </w:rPr>
              <w:t>6+ days above target</w:t>
            </w:r>
          </w:p>
        </w:tc>
      </w:tr>
    </w:tbl>
    <w:p w14:paraId="1CF6F1DD" w14:textId="45EA0DDF" w:rsidR="00F74371" w:rsidRPr="00F74371" w:rsidRDefault="00F74371" w:rsidP="00F74371">
      <w:pPr>
        <w:spacing w:before="120" w:after="120" w:line="276" w:lineRule="auto"/>
        <w:rPr>
          <w:sz w:val="22"/>
          <w:szCs w:val="22"/>
        </w:rPr>
      </w:pPr>
    </w:p>
    <w:p w14:paraId="48A95A44" w14:textId="77777777" w:rsidR="00F74371" w:rsidRPr="00F74371" w:rsidRDefault="00F74371" w:rsidP="001E11BD">
      <w:pPr>
        <w:pStyle w:val="Heading2"/>
      </w:pPr>
      <w:r w:rsidRPr="00F74371">
        <w:lastRenderedPageBreak/>
        <w:t>Quarterly Output Targets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627"/>
        <w:gridCol w:w="1352"/>
        <w:gridCol w:w="1834"/>
        <w:gridCol w:w="1547"/>
      </w:tblGrid>
      <w:tr w:rsidR="00F74371" w:rsidRPr="00F74371" w14:paraId="77523524" w14:textId="77777777" w:rsidTr="0026132B">
        <w:trPr>
          <w:tblHeader/>
          <w:tblCellSpacing w:w="15" w:type="dxa"/>
        </w:trPr>
        <w:tc>
          <w:tcPr>
            <w:tcW w:w="0" w:type="auto"/>
            <w:vAlign w:val="center"/>
            <w:hideMark/>
          </w:tcPr>
          <w:p w14:paraId="23F8B846" w14:textId="77777777" w:rsidR="00F74371" w:rsidRPr="00F74371" w:rsidRDefault="00F74371" w:rsidP="00F74371">
            <w:pPr>
              <w:spacing w:before="120" w:after="120" w:line="276" w:lineRule="auto"/>
              <w:rPr>
                <w:b/>
                <w:bCs/>
                <w:sz w:val="22"/>
                <w:szCs w:val="22"/>
              </w:rPr>
            </w:pPr>
            <w:r w:rsidRPr="00F74371">
              <w:rPr>
                <w:b/>
                <w:bCs/>
                <w:sz w:val="22"/>
                <w:szCs w:val="22"/>
              </w:rPr>
              <w:t>Target</w:t>
            </w:r>
          </w:p>
        </w:tc>
        <w:tc>
          <w:tcPr>
            <w:tcW w:w="0" w:type="auto"/>
            <w:vAlign w:val="center"/>
            <w:hideMark/>
          </w:tcPr>
          <w:p w14:paraId="17C2198B" w14:textId="77777777" w:rsidR="00F74371" w:rsidRPr="00F74371" w:rsidRDefault="00F74371" w:rsidP="00F74371">
            <w:pPr>
              <w:spacing w:before="120" w:after="120" w:line="276" w:lineRule="auto"/>
              <w:rPr>
                <w:b/>
                <w:bCs/>
                <w:sz w:val="22"/>
                <w:szCs w:val="22"/>
              </w:rPr>
            </w:pPr>
            <w:r w:rsidRPr="00F74371">
              <w:rPr>
                <w:b/>
                <w:bCs/>
                <w:sz w:val="22"/>
                <w:szCs w:val="22"/>
              </w:rPr>
              <w:t>Green</w:t>
            </w:r>
          </w:p>
        </w:tc>
        <w:tc>
          <w:tcPr>
            <w:tcW w:w="0" w:type="auto"/>
            <w:vAlign w:val="center"/>
            <w:hideMark/>
          </w:tcPr>
          <w:p w14:paraId="0C5AA13F" w14:textId="77777777" w:rsidR="00F74371" w:rsidRPr="00F74371" w:rsidRDefault="00F74371" w:rsidP="00F74371">
            <w:pPr>
              <w:spacing w:before="120" w:after="120" w:line="276" w:lineRule="auto"/>
              <w:rPr>
                <w:b/>
                <w:bCs/>
                <w:sz w:val="22"/>
                <w:szCs w:val="22"/>
              </w:rPr>
            </w:pPr>
            <w:r w:rsidRPr="00F74371">
              <w:rPr>
                <w:b/>
                <w:bCs/>
                <w:sz w:val="22"/>
                <w:szCs w:val="22"/>
              </w:rPr>
              <w:t>Yellow</w:t>
            </w:r>
          </w:p>
        </w:tc>
        <w:tc>
          <w:tcPr>
            <w:tcW w:w="0" w:type="auto"/>
            <w:vAlign w:val="center"/>
            <w:hideMark/>
          </w:tcPr>
          <w:p w14:paraId="0BE8A6C3" w14:textId="77777777" w:rsidR="00F74371" w:rsidRPr="00F74371" w:rsidRDefault="00F74371" w:rsidP="00F74371">
            <w:pPr>
              <w:spacing w:before="120" w:after="120" w:line="276" w:lineRule="auto"/>
              <w:rPr>
                <w:b/>
                <w:bCs/>
                <w:sz w:val="22"/>
                <w:szCs w:val="22"/>
              </w:rPr>
            </w:pPr>
            <w:r w:rsidRPr="00F74371">
              <w:rPr>
                <w:b/>
                <w:bCs/>
                <w:sz w:val="22"/>
                <w:szCs w:val="22"/>
              </w:rPr>
              <w:t>Red</w:t>
            </w:r>
          </w:p>
        </w:tc>
      </w:tr>
      <w:tr w:rsidR="00F74371" w:rsidRPr="00F74371" w14:paraId="6B19B5A6" w14:textId="77777777" w:rsidTr="0026132B">
        <w:trPr>
          <w:tblCellSpacing w:w="15" w:type="dxa"/>
        </w:trPr>
        <w:tc>
          <w:tcPr>
            <w:tcW w:w="0" w:type="auto"/>
            <w:vAlign w:val="center"/>
            <w:hideMark/>
          </w:tcPr>
          <w:p w14:paraId="27CDB006" w14:textId="77777777" w:rsidR="00F74371" w:rsidRPr="00F74371" w:rsidRDefault="00F74371" w:rsidP="00F74371">
            <w:pPr>
              <w:spacing w:before="120" w:after="120" w:line="276" w:lineRule="auto"/>
              <w:rPr>
                <w:sz w:val="22"/>
                <w:szCs w:val="22"/>
              </w:rPr>
            </w:pPr>
            <w:r w:rsidRPr="00F74371">
              <w:rPr>
                <w:sz w:val="22"/>
                <w:szCs w:val="22"/>
              </w:rPr>
              <w:t>Forecast accuracy (actual revenue and profit vs. forecast submitted at start of quarter)</w:t>
            </w:r>
          </w:p>
        </w:tc>
        <w:tc>
          <w:tcPr>
            <w:tcW w:w="0" w:type="auto"/>
            <w:vAlign w:val="center"/>
            <w:hideMark/>
          </w:tcPr>
          <w:p w14:paraId="18E69918" w14:textId="77777777" w:rsidR="00F74371" w:rsidRPr="00F74371" w:rsidRDefault="00F74371" w:rsidP="00F74371">
            <w:pPr>
              <w:spacing w:before="120" w:after="120" w:line="276" w:lineRule="auto"/>
              <w:rPr>
                <w:sz w:val="22"/>
                <w:szCs w:val="22"/>
              </w:rPr>
            </w:pPr>
            <w:r w:rsidRPr="00F74371">
              <w:rPr>
                <w:sz w:val="22"/>
                <w:szCs w:val="22"/>
              </w:rPr>
              <w:t>Within ±10%</w:t>
            </w:r>
          </w:p>
        </w:tc>
        <w:tc>
          <w:tcPr>
            <w:tcW w:w="0" w:type="auto"/>
            <w:vAlign w:val="center"/>
            <w:hideMark/>
          </w:tcPr>
          <w:p w14:paraId="618BE90F" w14:textId="77777777" w:rsidR="00F74371" w:rsidRPr="00F74371" w:rsidRDefault="00F74371" w:rsidP="00F74371">
            <w:pPr>
              <w:spacing w:before="120" w:after="120" w:line="276" w:lineRule="auto"/>
              <w:rPr>
                <w:sz w:val="22"/>
                <w:szCs w:val="22"/>
              </w:rPr>
            </w:pPr>
            <w:r w:rsidRPr="00F74371">
              <w:rPr>
                <w:sz w:val="22"/>
                <w:szCs w:val="22"/>
              </w:rPr>
              <w:t>±11–20%</w:t>
            </w:r>
          </w:p>
        </w:tc>
        <w:tc>
          <w:tcPr>
            <w:tcW w:w="0" w:type="auto"/>
            <w:vAlign w:val="center"/>
            <w:hideMark/>
          </w:tcPr>
          <w:p w14:paraId="4F78DF42" w14:textId="77777777" w:rsidR="00F74371" w:rsidRPr="00F74371" w:rsidRDefault="00F74371" w:rsidP="00F74371">
            <w:pPr>
              <w:spacing w:before="120" w:after="120" w:line="276" w:lineRule="auto"/>
              <w:rPr>
                <w:sz w:val="22"/>
                <w:szCs w:val="22"/>
              </w:rPr>
            </w:pPr>
            <w:r w:rsidRPr="00F74371">
              <w:rPr>
                <w:sz w:val="22"/>
                <w:szCs w:val="22"/>
              </w:rPr>
              <w:t>&gt;±20%</w:t>
            </w:r>
          </w:p>
        </w:tc>
      </w:tr>
      <w:tr w:rsidR="00B72DFB" w:rsidRPr="00F74371" w14:paraId="6CA251A2" w14:textId="77777777" w:rsidTr="0026132B">
        <w:trPr>
          <w:tblCellSpacing w:w="15" w:type="dxa"/>
        </w:trPr>
        <w:tc>
          <w:tcPr>
            <w:tcW w:w="0" w:type="auto"/>
            <w:vAlign w:val="center"/>
            <w:hideMark/>
          </w:tcPr>
          <w:p w14:paraId="545A96DE" w14:textId="637F5E08" w:rsidR="00B72DFB" w:rsidRPr="00F74371" w:rsidRDefault="00B72DFB" w:rsidP="00B72DFB">
            <w:pPr>
              <w:spacing w:before="120" w:after="120" w:line="276" w:lineRule="auto"/>
              <w:rPr>
                <w:sz w:val="22"/>
                <w:szCs w:val="22"/>
              </w:rPr>
            </w:pPr>
            <w:r w:rsidRPr="00503A4D">
              <w:rPr>
                <w:sz w:val="22"/>
                <w:szCs w:val="22"/>
              </w:rPr>
              <w:t>Close cycle time (average business days from month end to delivery of final management accounts)</w:t>
            </w:r>
          </w:p>
        </w:tc>
        <w:tc>
          <w:tcPr>
            <w:tcW w:w="0" w:type="auto"/>
            <w:vAlign w:val="center"/>
            <w:hideMark/>
          </w:tcPr>
          <w:p w14:paraId="325A9C57" w14:textId="02732FD4" w:rsidR="00B72DFB" w:rsidRPr="00F74371" w:rsidRDefault="00B72DFB" w:rsidP="00B72DFB">
            <w:pPr>
              <w:spacing w:before="120" w:after="120" w:line="276" w:lineRule="auto"/>
              <w:rPr>
                <w:sz w:val="22"/>
                <w:szCs w:val="22"/>
              </w:rPr>
            </w:pPr>
            <w:r w:rsidRPr="00F74371">
              <w:rPr>
                <w:sz w:val="22"/>
                <w:szCs w:val="22"/>
              </w:rPr>
              <w:t>≤5 business days</w:t>
            </w:r>
          </w:p>
        </w:tc>
        <w:tc>
          <w:tcPr>
            <w:tcW w:w="0" w:type="auto"/>
            <w:vAlign w:val="center"/>
            <w:hideMark/>
          </w:tcPr>
          <w:p w14:paraId="592C7957" w14:textId="1A06A04A" w:rsidR="00B72DFB" w:rsidRPr="00F74371" w:rsidRDefault="00B72DFB" w:rsidP="00B72DFB">
            <w:pPr>
              <w:spacing w:before="120" w:after="120" w:line="276" w:lineRule="auto"/>
              <w:rPr>
                <w:sz w:val="22"/>
                <w:szCs w:val="22"/>
              </w:rPr>
            </w:pPr>
            <w:r w:rsidRPr="00F74371">
              <w:rPr>
                <w:sz w:val="22"/>
                <w:szCs w:val="22"/>
              </w:rPr>
              <w:t>6–8 business days</w:t>
            </w:r>
          </w:p>
        </w:tc>
        <w:tc>
          <w:tcPr>
            <w:tcW w:w="0" w:type="auto"/>
            <w:vAlign w:val="center"/>
            <w:hideMark/>
          </w:tcPr>
          <w:p w14:paraId="1A37E03D" w14:textId="2E8757AA" w:rsidR="00B72DFB" w:rsidRPr="00F74371" w:rsidRDefault="00B72DFB" w:rsidP="00B72DFB">
            <w:pPr>
              <w:spacing w:before="120" w:after="120" w:line="276" w:lineRule="auto"/>
              <w:rPr>
                <w:sz w:val="22"/>
                <w:szCs w:val="22"/>
              </w:rPr>
            </w:pPr>
            <w:r w:rsidRPr="00F74371">
              <w:rPr>
                <w:sz w:val="22"/>
                <w:szCs w:val="22"/>
              </w:rPr>
              <w:t>9+ business days</w:t>
            </w:r>
          </w:p>
        </w:tc>
      </w:tr>
      <w:tr w:rsidR="00BD4076" w:rsidRPr="00F74371" w14:paraId="6A182BA4" w14:textId="77777777" w:rsidTr="006255E8">
        <w:trPr>
          <w:tblCellSpacing w:w="15" w:type="dxa"/>
        </w:trPr>
        <w:tc>
          <w:tcPr>
            <w:tcW w:w="0" w:type="auto"/>
            <w:vAlign w:val="center"/>
            <w:hideMark/>
          </w:tcPr>
          <w:p w14:paraId="2A22AD03" w14:textId="26308798" w:rsidR="00BD4076" w:rsidRPr="00F74371" w:rsidRDefault="00BD4076" w:rsidP="00BD4076">
            <w:pPr>
              <w:spacing w:before="120" w:after="120" w:line="276" w:lineRule="auto"/>
              <w:rPr>
                <w:sz w:val="22"/>
                <w:szCs w:val="22"/>
              </w:rPr>
            </w:pPr>
            <w:r w:rsidRPr="00B72DFB">
              <w:rPr>
                <w:sz w:val="22"/>
                <w:szCs w:val="22"/>
              </w:rPr>
              <w:t>HR and people operations compliance (open employment actions, policy gaps, or compliance items unresolved at quarter end)</w:t>
            </w:r>
          </w:p>
        </w:tc>
        <w:tc>
          <w:tcPr>
            <w:tcW w:w="0" w:type="auto"/>
            <w:hideMark/>
          </w:tcPr>
          <w:p w14:paraId="0F541AFE" w14:textId="795C41C5" w:rsidR="00BD4076" w:rsidRPr="00F74371" w:rsidRDefault="00BD4076" w:rsidP="00BD4076">
            <w:pPr>
              <w:spacing w:before="120" w:after="120" w:line="276" w:lineRule="auto"/>
              <w:rPr>
                <w:sz w:val="22"/>
                <w:szCs w:val="22"/>
              </w:rPr>
            </w:pPr>
            <w:r w:rsidRPr="00561AC1">
              <w:t>0 unresolved</w:t>
            </w:r>
          </w:p>
        </w:tc>
        <w:tc>
          <w:tcPr>
            <w:tcW w:w="0" w:type="auto"/>
            <w:hideMark/>
          </w:tcPr>
          <w:p w14:paraId="289C4004" w14:textId="01526CA8" w:rsidR="00BD4076" w:rsidRPr="00F74371" w:rsidRDefault="00BD4076" w:rsidP="00BD4076">
            <w:pPr>
              <w:spacing w:before="120" w:after="120" w:line="276" w:lineRule="auto"/>
              <w:rPr>
                <w:sz w:val="22"/>
                <w:szCs w:val="22"/>
              </w:rPr>
            </w:pPr>
            <w:r>
              <w:t>1</w:t>
            </w:r>
            <w:r w:rsidRPr="00561AC1">
              <w:t>–2 in progress with clear timelines</w:t>
            </w:r>
          </w:p>
        </w:tc>
        <w:tc>
          <w:tcPr>
            <w:tcW w:w="0" w:type="auto"/>
            <w:hideMark/>
          </w:tcPr>
          <w:p w14:paraId="0D50A6B5" w14:textId="12DF33B9" w:rsidR="00BD4076" w:rsidRPr="00F74371" w:rsidRDefault="00BD4076" w:rsidP="00BD4076">
            <w:pPr>
              <w:spacing w:before="120" w:after="120" w:line="276" w:lineRule="auto"/>
              <w:rPr>
                <w:sz w:val="22"/>
                <w:szCs w:val="22"/>
              </w:rPr>
            </w:pPr>
            <w:r w:rsidRPr="00561AC1">
              <w:t>3+ unresolved or over</w:t>
            </w:r>
          </w:p>
        </w:tc>
      </w:tr>
    </w:tbl>
    <w:p w14:paraId="3C4F3421" w14:textId="68C11DE1" w:rsidR="00515DB7" w:rsidRDefault="00515DB7" w:rsidP="00F74371">
      <w:pPr>
        <w:spacing w:before="120" w:after="120" w:line="276" w:lineRule="auto"/>
        <w:rPr>
          <w:sz w:val="22"/>
          <w:szCs w:val="22"/>
        </w:rPr>
      </w:pPr>
    </w:p>
    <w:p w14:paraId="458FB200" w14:textId="77777777" w:rsidR="00F74371" w:rsidRPr="00F74371" w:rsidRDefault="00F74371" w:rsidP="0026132B">
      <w:pPr>
        <w:pStyle w:val="Heading2"/>
      </w:pPr>
      <w:r w:rsidRPr="00F74371">
        <w:t>Rocks</w:t>
      </w:r>
    </w:p>
    <w:p w14:paraId="34AC85F0" w14:textId="77777777" w:rsidR="00F74371" w:rsidRPr="00F74371" w:rsidRDefault="00F74371" w:rsidP="00F74371">
      <w:pPr>
        <w:spacing w:before="120" w:after="120" w:line="276" w:lineRule="auto"/>
        <w:rPr>
          <w:sz w:val="22"/>
          <w:szCs w:val="22"/>
        </w:rPr>
      </w:pPr>
      <w:r w:rsidRPr="00F74371">
        <w:rPr>
          <w:i/>
          <w:iCs/>
          <w:sz w:val="22"/>
          <w:szCs w:val="22"/>
        </w:rPr>
        <w:t>Quarterly Rocks for this seat are set at Annual and Quarterly Planning sessions and tracked weekly in the L10 Scorecard.</w:t>
      </w:r>
    </w:p>
    <w:tbl>
      <w:tblPr>
        <w:tblW w:w="9312"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357"/>
        <w:gridCol w:w="4202"/>
        <w:gridCol w:w="1276"/>
        <w:gridCol w:w="2477"/>
      </w:tblGrid>
      <w:tr w:rsidR="00F74371" w:rsidRPr="00F74371" w14:paraId="7035386D" w14:textId="77777777" w:rsidTr="0026132B">
        <w:trPr>
          <w:trHeight w:val="643"/>
          <w:tblHeader/>
          <w:tblCellSpacing w:w="15" w:type="dxa"/>
        </w:trPr>
        <w:tc>
          <w:tcPr>
            <w:tcW w:w="0" w:type="auto"/>
            <w:vAlign w:val="center"/>
            <w:hideMark/>
          </w:tcPr>
          <w:p w14:paraId="599B1D28" w14:textId="77777777" w:rsidR="00F74371" w:rsidRPr="00F74371" w:rsidRDefault="00F74371" w:rsidP="00F74371">
            <w:pPr>
              <w:spacing w:before="120" w:after="120" w:line="276" w:lineRule="auto"/>
              <w:rPr>
                <w:b/>
                <w:bCs/>
                <w:sz w:val="22"/>
                <w:szCs w:val="22"/>
              </w:rPr>
            </w:pPr>
            <w:r w:rsidRPr="00F74371">
              <w:rPr>
                <w:b/>
                <w:bCs/>
                <w:sz w:val="22"/>
                <w:szCs w:val="22"/>
              </w:rPr>
              <w:t>Rock</w:t>
            </w:r>
          </w:p>
        </w:tc>
        <w:tc>
          <w:tcPr>
            <w:tcW w:w="0" w:type="auto"/>
            <w:vAlign w:val="center"/>
            <w:hideMark/>
          </w:tcPr>
          <w:p w14:paraId="2EBA609F" w14:textId="77777777" w:rsidR="00F74371" w:rsidRPr="00F74371" w:rsidRDefault="00F74371" w:rsidP="00F74371">
            <w:pPr>
              <w:spacing w:before="120" w:after="120" w:line="276" w:lineRule="auto"/>
              <w:rPr>
                <w:b/>
                <w:bCs/>
                <w:sz w:val="22"/>
                <w:szCs w:val="22"/>
              </w:rPr>
            </w:pPr>
            <w:r w:rsidRPr="00F74371">
              <w:rPr>
                <w:b/>
                <w:bCs/>
                <w:sz w:val="22"/>
                <w:szCs w:val="22"/>
              </w:rPr>
              <w:t>Owner</w:t>
            </w:r>
          </w:p>
        </w:tc>
        <w:tc>
          <w:tcPr>
            <w:tcW w:w="0" w:type="auto"/>
            <w:vAlign w:val="center"/>
            <w:hideMark/>
          </w:tcPr>
          <w:p w14:paraId="3F198C7A" w14:textId="77777777" w:rsidR="00F74371" w:rsidRPr="00F74371" w:rsidRDefault="00F74371" w:rsidP="00F74371">
            <w:pPr>
              <w:spacing w:before="120" w:after="120" w:line="276" w:lineRule="auto"/>
              <w:rPr>
                <w:b/>
                <w:bCs/>
                <w:sz w:val="22"/>
                <w:szCs w:val="22"/>
              </w:rPr>
            </w:pPr>
            <w:r w:rsidRPr="00F74371">
              <w:rPr>
                <w:b/>
                <w:bCs/>
                <w:sz w:val="22"/>
                <w:szCs w:val="22"/>
              </w:rPr>
              <w:t>Due Date</w:t>
            </w:r>
          </w:p>
        </w:tc>
        <w:tc>
          <w:tcPr>
            <w:tcW w:w="0" w:type="auto"/>
            <w:vAlign w:val="center"/>
            <w:hideMark/>
          </w:tcPr>
          <w:p w14:paraId="522F008E" w14:textId="77777777" w:rsidR="00F74371" w:rsidRPr="00F74371" w:rsidRDefault="00F74371" w:rsidP="00F74371">
            <w:pPr>
              <w:spacing w:before="120" w:after="120" w:line="276" w:lineRule="auto"/>
              <w:rPr>
                <w:b/>
                <w:bCs/>
                <w:sz w:val="22"/>
                <w:szCs w:val="22"/>
              </w:rPr>
            </w:pPr>
            <w:r w:rsidRPr="00F74371">
              <w:rPr>
                <w:b/>
                <w:bCs/>
                <w:sz w:val="22"/>
                <w:szCs w:val="22"/>
              </w:rPr>
              <w:t>Status</w:t>
            </w:r>
          </w:p>
        </w:tc>
      </w:tr>
      <w:tr w:rsidR="00F74371" w:rsidRPr="00F74371" w14:paraId="7E1C7F64" w14:textId="77777777" w:rsidTr="0026132B">
        <w:trPr>
          <w:trHeight w:val="643"/>
          <w:tblCellSpacing w:w="15" w:type="dxa"/>
        </w:trPr>
        <w:tc>
          <w:tcPr>
            <w:tcW w:w="0" w:type="auto"/>
            <w:vAlign w:val="center"/>
            <w:hideMark/>
          </w:tcPr>
          <w:p w14:paraId="44C29C91" w14:textId="77777777" w:rsidR="00F74371" w:rsidRPr="00F74371" w:rsidRDefault="00F74371" w:rsidP="00F74371">
            <w:pPr>
              <w:spacing w:before="120" w:after="120" w:line="276" w:lineRule="auto"/>
              <w:rPr>
                <w:sz w:val="22"/>
                <w:szCs w:val="22"/>
              </w:rPr>
            </w:pPr>
            <w:r w:rsidRPr="00F74371">
              <w:rPr>
                <w:sz w:val="22"/>
                <w:szCs w:val="22"/>
              </w:rPr>
              <w:t>[Q Rock 1]</w:t>
            </w:r>
          </w:p>
        </w:tc>
        <w:tc>
          <w:tcPr>
            <w:tcW w:w="0" w:type="auto"/>
            <w:vAlign w:val="center"/>
            <w:hideMark/>
          </w:tcPr>
          <w:p w14:paraId="78FD40F6" w14:textId="2142ABF5" w:rsidR="00F74371" w:rsidRPr="00F74371" w:rsidRDefault="00AF2E3B" w:rsidP="00F74371">
            <w:pPr>
              <w:spacing w:before="120" w:after="120" w:line="276" w:lineRule="auto"/>
              <w:rPr>
                <w:sz w:val="22"/>
                <w:szCs w:val="22"/>
              </w:rPr>
            </w:pPr>
            <w:r>
              <w:rPr>
                <w:sz w:val="22"/>
                <w:szCs w:val="22"/>
              </w:rPr>
              <w:t xml:space="preserve">Head of Finance &amp; </w:t>
            </w:r>
            <w:r w:rsidR="007D64D5" w:rsidRPr="007D64D5">
              <w:rPr>
                <w:sz w:val="22"/>
                <w:szCs w:val="22"/>
              </w:rPr>
              <w:t>Administration</w:t>
            </w:r>
          </w:p>
        </w:tc>
        <w:tc>
          <w:tcPr>
            <w:tcW w:w="0" w:type="auto"/>
            <w:vAlign w:val="center"/>
            <w:hideMark/>
          </w:tcPr>
          <w:p w14:paraId="26B218DA" w14:textId="77777777" w:rsidR="00F74371" w:rsidRPr="00F74371" w:rsidRDefault="00F74371" w:rsidP="00F74371">
            <w:pPr>
              <w:spacing w:before="120" w:after="120" w:line="276" w:lineRule="auto"/>
              <w:rPr>
                <w:sz w:val="22"/>
                <w:szCs w:val="22"/>
              </w:rPr>
            </w:pPr>
            <w:r w:rsidRPr="00F74371">
              <w:rPr>
                <w:sz w:val="22"/>
                <w:szCs w:val="22"/>
              </w:rPr>
              <w:t>[Date]</w:t>
            </w:r>
          </w:p>
        </w:tc>
        <w:tc>
          <w:tcPr>
            <w:tcW w:w="0" w:type="auto"/>
            <w:vAlign w:val="center"/>
            <w:hideMark/>
          </w:tcPr>
          <w:p w14:paraId="197023DC" w14:textId="77777777" w:rsidR="00F74371" w:rsidRPr="00F74371" w:rsidRDefault="00F74371" w:rsidP="00F74371">
            <w:pPr>
              <w:spacing w:before="120" w:after="120" w:line="276" w:lineRule="auto"/>
              <w:rPr>
                <w:sz w:val="22"/>
                <w:szCs w:val="22"/>
              </w:rPr>
            </w:pPr>
            <w:r w:rsidRPr="00F74371">
              <w:rPr>
                <w:sz w:val="22"/>
                <w:szCs w:val="22"/>
              </w:rPr>
              <w:t>On Track / Off Track</w:t>
            </w:r>
          </w:p>
        </w:tc>
      </w:tr>
      <w:tr w:rsidR="00F74371" w:rsidRPr="00F74371" w14:paraId="331D6A6E" w14:textId="77777777" w:rsidTr="0026132B">
        <w:trPr>
          <w:trHeight w:val="643"/>
          <w:tblCellSpacing w:w="15" w:type="dxa"/>
        </w:trPr>
        <w:tc>
          <w:tcPr>
            <w:tcW w:w="0" w:type="auto"/>
            <w:vAlign w:val="center"/>
            <w:hideMark/>
          </w:tcPr>
          <w:p w14:paraId="265022AE" w14:textId="77777777" w:rsidR="00F74371" w:rsidRPr="00F74371" w:rsidRDefault="00F74371" w:rsidP="00F74371">
            <w:pPr>
              <w:spacing w:before="120" w:after="120" w:line="276" w:lineRule="auto"/>
              <w:rPr>
                <w:sz w:val="22"/>
                <w:szCs w:val="22"/>
              </w:rPr>
            </w:pPr>
            <w:r w:rsidRPr="00F74371">
              <w:rPr>
                <w:sz w:val="22"/>
                <w:szCs w:val="22"/>
              </w:rPr>
              <w:t>[Q Rock 2]</w:t>
            </w:r>
          </w:p>
        </w:tc>
        <w:tc>
          <w:tcPr>
            <w:tcW w:w="0" w:type="auto"/>
            <w:vAlign w:val="center"/>
            <w:hideMark/>
          </w:tcPr>
          <w:p w14:paraId="6B4F30B8" w14:textId="4770193E" w:rsidR="00F74371" w:rsidRPr="00F74371" w:rsidRDefault="00AF2E3B" w:rsidP="00F74371">
            <w:pPr>
              <w:spacing w:before="120" w:after="120" w:line="276" w:lineRule="auto"/>
              <w:rPr>
                <w:sz w:val="22"/>
                <w:szCs w:val="22"/>
              </w:rPr>
            </w:pPr>
            <w:r>
              <w:rPr>
                <w:sz w:val="22"/>
                <w:szCs w:val="22"/>
              </w:rPr>
              <w:t xml:space="preserve">Head of Finance &amp; </w:t>
            </w:r>
            <w:r w:rsidR="007D64D5" w:rsidRPr="007D64D5">
              <w:rPr>
                <w:sz w:val="22"/>
                <w:szCs w:val="22"/>
              </w:rPr>
              <w:t>Administration</w:t>
            </w:r>
          </w:p>
        </w:tc>
        <w:tc>
          <w:tcPr>
            <w:tcW w:w="0" w:type="auto"/>
            <w:vAlign w:val="center"/>
            <w:hideMark/>
          </w:tcPr>
          <w:p w14:paraId="580CF5EF" w14:textId="77777777" w:rsidR="00F74371" w:rsidRPr="00F74371" w:rsidRDefault="00F74371" w:rsidP="00F74371">
            <w:pPr>
              <w:spacing w:before="120" w:after="120" w:line="276" w:lineRule="auto"/>
              <w:rPr>
                <w:sz w:val="22"/>
                <w:szCs w:val="22"/>
              </w:rPr>
            </w:pPr>
            <w:r w:rsidRPr="00F74371">
              <w:rPr>
                <w:sz w:val="22"/>
                <w:szCs w:val="22"/>
              </w:rPr>
              <w:t>[Date]</w:t>
            </w:r>
          </w:p>
        </w:tc>
        <w:tc>
          <w:tcPr>
            <w:tcW w:w="0" w:type="auto"/>
            <w:vAlign w:val="center"/>
            <w:hideMark/>
          </w:tcPr>
          <w:p w14:paraId="0443ABAB" w14:textId="77777777" w:rsidR="00F74371" w:rsidRPr="00F74371" w:rsidRDefault="00F74371" w:rsidP="00F74371">
            <w:pPr>
              <w:spacing w:before="120" w:after="120" w:line="276" w:lineRule="auto"/>
              <w:rPr>
                <w:sz w:val="22"/>
                <w:szCs w:val="22"/>
              </w:rPr>
            </w:pPr>
            <w:r w:rsidRPr="00F74371">
              <w:rPr>
                <w:sz w:val="22"/>
                <w:szCs w:val="22"/>
              </w:rPr>
              <w:t>On Track / Off Track</w:t>
            </w:r>
          </w:p>
        </w:tc>
      </w:tr>
    </w:tbl>
    <w:p w14:paraId="0A88D75B" w14:textId="7897491B" w:rsidR="00F74371" w:rsidRPr="00F74371" w:rsidRDefault="00F74371" w:rsidP="00F74371">
      <w:pPr>
        <w:spacing w:before="120" w:after="120" w:line="276" w:lineRule="auto"/>
        <w:rPr>
          <w:sz w:val="22"/>
          <w:szCs w:val="22"/>
        </w:rPr>
      </w:pPr>
    </w:p>
    <w:p w14:paraId="3EBA65EC" w14:textId="77777777" w:rsidR="00F74371" w:rsidRPr="00F74371" w:rsidRDefault="00F74371" w:rsidP="0026132B">
      <w:pPr>
        <w:pStyle w:val="Heading2"/>
      </w:pPr>
      <w:r w:rsidRPr="00F74371">
        <w:t>People Analyzer</w:t>
      </w:r>
    </w:p>
    <w:tbl>
      <w:tblPr>
        <w:tblW w:w="9930" w:type="dxa"/>
        <w:tblLook w:val="04A0" w:firstRow="1" w:lastRow="0" w:firstColumn="1" w:lastColumn="0" w:noHBand="0" w:noVBand="1"/>
      </w:tblPr>
      <w:tblGrid>
        <w:gridCol w:w="1838"/>
        <w:gridCol w:w="5245"/>
        <w:gridCol w:w="992"/>
        <w:gridCol w:w="1025"/>
        <w:gridCol w:w="830"/>
      </w:tblGrid>
      <w:tr w:rsidR="00A268B5" w:rsidRPr="00A268B5" w14:paraId="117247E6" w14:textId="77777777" w:rsidTr="00A268B5">
        <w:trPr>
          <w:trHeight w:val="293"/>
        </w:trPr>
        <w:tc>
          <w:tcPr>
            <w:tcW w:w="1838" w:type="dxa"/>
            <w:tcBorders>
              <w:top w:val="single" w:sz="4" w:space="0" w:color="auto"/>
              <w:left w:val="single" w:sz="4" w:space="0" w:color="auto"/>
              <w:bottom w:val="single" w:sz="4" w:space="0" w:color="auto"/>
              <w:right w:val="single" w:sz="4" w:space="0" w:color="auto"/>
            </w:tcBorders>
            <w:vAlign w:val="center"/>
            <w:hideMark/>
          </w:tcPr>
          <w:p w14:paraId="0DA535BE" w14:textId="77777777" w:rsidR="00A268B5" w:rsidRPr="00A268B5" w:rsidRDefault="00A268B5" w:rsidP="00A268B5">
            <w:pPr>
              <w:spacing w:after="0" w:line="240" w:lineRule="auto"/>
              <w:rPr>
                <w:rFonts w:ascii="Aptos" w:eastAsia="Times New Roman" w:hAnsi="Aptos" w:cs="Times New Roman"/>
                <w:b/>
                <w:bCs/>
                <w:color w:val="000000"/>
                <w:kern w:val="0"/>
                <w:sz w:val="22"/>
                <w:szCs w:val="22"/>
                <w:lang w:eastAsia="en-CA"/>
                <w14:ligatures w14:val="none"/>
              </w:rPr>
            </w:pPr>
            <w:r w:rsidRPr="00A268B5">
              <w:rPr>
                <w:rFonts w:ascii="Aptos" w:eastAsia="Times New Roman" w:hAnsi="Aptos" w:cs="Times New Roman"/>
                <w:b/>
                <w:bCs/>
                <w:color w:val="000000"/>
                <w:kern w:val="0"/>
                <w:sz w:val="22"/>
                <w:szCs w:val="22"/>
                <w:lang w:eastAsia="en-CA"/>
                <w14:ligatures w14:val="none"/>
              </w:rPr>
              <w:t>Lens</w:t>
            </w:r>
          </w:p>
        </w:tc>
        <w:tc>
          <w:tcPr>
            <w:tcW w:w="5245" w:type="dxa"/>
            <w:tcBorders>
              <w:top w:val="single" w:sz="4" w:space="0" w:color="auto"/>
              <w:left w:val="nil"/>
              <w:bottom w:val="single" w:sz="4" w:space="0" w:color="auto"/>
              <w:right w:val="single" w:sz="4" w:space="0" w:color="auto"/>
            </w:tcBorders>
            <w:vAlign w:val="center"/>
            <w:hideMark/>
          </w:tcPr>
          <w:p w14:paraId="160B61AA" w14:textId="77777777" w:rsidR="00A268B5" w:rsidRPr="00A268B5" w:rsidRDefault="00A268B5" w:rsidP="00A268B5">
            <w:pPr>
              <w:spacing w:after="0" w:line="240" w:lineRule="auto"/>
              <w:rPr>
                <w:rFonts w:ascii="Aptos" w:eastAsia="Times New Roman" w:hAnsi="Aptos" w:cs="Times New Roman"/>
                <w:b/>
                <w:bCs/>
                <w:color w:val="000000"/>
                <w:kern w:val="0"/>
                <w:sz w:val="22"/>
                <w:szCs w:val="22"/>
                <w:lang w:eastAsia="en-CA"/>
                <w14:ligatures w14:val="none"/>
              </w:rPr>
            </w:pPr>
            <w:r w:rsidRPr="00A268B5">
              <w:rPr>
                <w:rFonts w:ascii="Aptos" w:eastAsia="Times New Roman" w:hAnsi="Aptos" w:cs="Times New Roman"/>
                <w:b/>
                <w:bCs/>
                <w:color w:val="000000"/>
                <w:kern w:val="0"/>
                <w:sz w:val="22"/>
                <w:szCs w:val="22"/>
                <w:lang w:eastAsia="en-CA"/>
                <w14:ligatures w14:val="none"/>
              </w:rPr>
              <w:t>Evaluative Question</w:t>
            </w:r>
          </w:p>
        </w:tc>
        <w:tc>
          <w:tcPr>
            <w:tcW w:w="992" w:type="dxa"/>
            <w:tcBorders>
              <w:top w:val="single" w:sz="4" w:space="0" w:color="auto"/>
              <w:left w:val="nil"/>
              <w:bottom w:val="single" w:sz="4" w:space="0" w:color="auto"/>
              <w:right w:val="single" w:sz="4" w:space="0" w:color="auto"/>
            </w:tcBorders>
            <w:vAlign w:val="center"/>
            <w:hideMark/>
          </w:tcPr>
          <w:p w14:paraId="4DAE6D9B" w14:textId="77777777" w:rsidR="00A268B5" w:rsidRPr="00A268B5" w:rsidRDefault="00A268B5" w:rsidP="00A268B5">
            <w:pPr>
              <w:spacing w:after="0" w:line="240" w:lineRule="auto"/>
              <w:jc w:val="center"/>
              <w:rPr>
                <w:rFonts w:ascii="Aptos" w:eastAsia="Times New Roman" w:hAnsi="Aptos" w:cs="Times New Roman"/>
                <w:b/>
                <w:bCs/>
                <w:color w:val="000000"/>
                <w:kern w:val="0"/>
                <w:sz w:val="22"/>
                <w:szCs w:val="22"/>
                <w:lang w:eastAsia="en-CA"/>
                <w14:ligatures w14:val="none"/>
              </w:rPr>
            </w:pPr>
            <w:r w:rsidRPr="00A268B5">
              <w:rPr>
                <w:rFonts w:ascii="Aptos" w:eastAsia="Times New Roman" w:hAnsi="Aptos" w:cs="Times New Roman"/>
                <w:b/>
                <w:bCs/>
                <w:color w:val="000000"/>
                <w:kern w:val="0"/>
                <w:sz w:val="22"/>
                <w:szCs w:val="22"/>
                <w:lang w:eastAsia="en-CA"/>
                <w14:ligatures w14:val="none"/>
              </w:rPr>
              <w:t>+</w:t>
            </w:r>
          </w:p>
        </w:tc>
        <w:tc>
          <w:tcPr>
            <w:tcW w:w="1025" w:type="dxa"/>
            <w:tcBorders>
              <w:top w:val="single" w:sz="4" w:space="0" w:color="auto"/>
              <w:left w:val="nil"/>
              <w:bottom w:val="single" w:sz="4" w:space="0" w:color="auto"/>
              <w:right w:val="single" w:sz="4" w:space="0" w:color="auto"/>
            </w:tcBorders>
            <w:vAlign w:val="center"/>
            <w:hideMark/>
          </w:tcPr>
          <w:p w14:paraId="37AFABA6" w14:textId="77777777" w:rsidR="00A268B5" w:rsidRPr="00A268B5" w:rsidRDefault="00A268B5" w:rsidP="00A268B5">
            <w:pPr>
              <w:spacing w:after="0" w:line="240" w:lineRule="auto"/>
              <w:jc w:val="center"/>
              <w:rPr>
                <w:rFonts w:ascii="Aptos" w:eastAsia="Times New Roman" w:hAnsi="Aptos" w:cs="Times New Roman"/>
                <w:b/>
                <w:bCs/>
                <w:color w:val="000000"/>
                <w:kern w:val="0"/>
                <w:sz w:val="22"/>
                <w:szCs w:val="22"/>
                <w:lang w:eastAsia="en-CA"/>
                <w14:ligatures w14:val="none"/>
              </w:rPr>
            </w:pPr>
            <w:r w:rsidRPr="00A268B5">
              <w:rPr>
                <w:rFonts w:ascii="Aptos" w:eastAsia="Times New Roman" w:hAnsi="Aptos" w:cs="Times New Roman"/>
                <w:b/>
                <w:bCs/>
                <w:color w:val="000000"/>
                <w:kern w:val="0"/>
                <w:sz w:val="22"/>
                <w:szCs w:val="22"/>
                <w:lang w:eastAsia="en-CA"/>
                <w14:ligatures w14:val="none"/>
              </w:rPr>
              <w:t>+/–</w:t>
            </w:r>
          </w:p>
        </w:tc>
        <w:tc>
          <w:tcPr>
            <w:tcW w:w="830" w:type="dxa"/>
            <w:tcBorders>
              <w:top w:val="single" w:sz="4" w:space="0" w:color="auto"/>
              <w:left w:val="nil"/>
              <w:bottom w:val="single" w:sz="4" w:space="0" w:color="auto"/>
              <w:right w:val="single" w:sz="4" w:space="0" w:color="auto"/>
            </w:tcBorders>
            <w:vAlign w:val="center"/>
            <w:hideMark/>
          </w:tcPr>
          <w:p w14:paraId="6958DF10" w14:textId="77777777" w:rsidR="00A268B5" w:rsidRPr="00A268B5" w:rsidRDefault="00A268B5" w:rsidP="00A268B5">
            <w:pPr>
              <w:spacing w:after="0" w:line="240" w:lineRule="auto"/>
              <w:jc w:val="center"/>
              <w:rPr>
                <w:rFonts w:ascii="Aptos" w:eastAsia="Times New Roman" w:hAnsi="Aptos" w:cs="Times New Roman"/>
                <w:b/>
                <w:bCs/>
                <w:color w:val="000000"/>
                <w:kern w:val="0"/>
                <w:sz w:val="22"/>
                <w:szCs w:val="22"/>
                <w:lang w:eastAsia="en-CA"/>
                <w14:ligatures w14:val="none"/>
              </w:rPr>
            </w:pPr>
            <w:r w:rsidRPr="00A268B5">
              <w:rPr>
                <w:rFonts w:ascii="Aptos" w:eastAsia="Times New Roman" w:hAnsi="Aptos" w:cs="Times New Roman"/>
                <w:b/>
                <w:bCs/>
                <w:color w:val="000000"/>
                <w:kern w:val="0"/>
                <w:sz w:val="22"/>
                <w:szCs w:val="22"/>
                <w:lang w:eastAsia="en-CA"/>
                <w14:ligatures w14:val="none"/>
              </w:rPr>
              <w:t>–</w:t>
            </w:r>
          </w:p>
        </w:tc>
      </w:tr>
      <w:tr w:rsidR="00A268B5" w:rsidRPr="00A268B5" w14:paraId="1292C55F" w14:textId="77777777" w:rsidTr="00A268B5">
        <w:trPr>
          <w:trHeight w:val="1172"/>
        </w:trPr>
        <w:tc>
          <w:tcPr>
            <w:tcW w:w="1838" w:type="dxa"/>
            <w:tcBorders>
              <w:top w:val="nil"/>
              <w:left w:val="single" w:sz="4" w:space="0" w:color="auto"/>
              <w:bottom w:val="single" w:sz="4" w:space="0" w:color="auto"/>
              <w:right w:val="single" w:sz="4" w:space="0" w:color="auto"/>
            </w:tcBorders>
            <w:vAlign w:val="center"/>
            <w:hideMark/>
          </w:tcPr>
          <w:p w14:paraId="683D0949" w14:textId="77777777" w:rsidR="00A268B5" w:rsidRPr="00A268B5" w:rsidRDefault="00A268B5" w:rsidP="00A268B5">
            <w:pPr>
              <w:spacing w:after="0" w:line="240" w:lineRule="auto"/>
              <w:rPr>
                <w:rFonts w:ascii="Aptos" w:eastAsia="Times New Roman" w:hAnsi="Aptos" w:cs="Times New Roman"/>
                <w:color w:val="000000"/>
                <w:kern w:val="0"/>
                <w:sz w:val="22"/>
                <w:szCs w:val="22"/>
                <w:lang w:eastAsia="en-CA"/>
                <w14:ligatures w14:val="none"/>
              </w:rPr>
            </w:pPr>
            <w:r w:rsidRPr="00A268B5">
              <w:rPr>
                <w:rFonts w:ascii="Aptos" w:eastAsia="Times New Roman" w:hAnsi="Aptos" w:cs="Times New Roman"/>
                <w:color w:val="000000"/>
                <w:kern w:val="0"/>
                <w:sz w:val="22"/>
                <w:szCs w:val="22"/>
                <w:lang w:eastAsia="en-CA"/>
                <w14:ligatures w14:val="none"/>
              </w:rPr>
              <w:t>We are Accountable</w:t>
            </w:r>
          </w:p>
        </w:tc>
        <w:tc>
          <w:tcPr>
            <w:tcW w:w="5245" w:type="dxa"/>
            <w:tcBorders>
              <w:top w:val="nil"/>
              <w:left w:val="nil"/>
              <w:bottom w:val="single" w:sz="4" w:space="0" w:color="auto"/>
              <w:right w:val="single" w:sz="4" w:space="0" w:color="auto"/>
            </w:tcBorders>
            <w:vAlign w:val="center"/>
            <w:hideMark/>
          </w:tcPr>
          <w:p w14:paraId="089A2158" w14:textId="39DAC67B" w:rsidR="00A268B5" w:rsidRPr="00A268B5" w:rsidRDefault="0090757E" w:rsidP="00A268B5">
            <w:pPr>
              <w:spacing w:after="0" w:line="240" w:lineRule="auto"/>
              <w:rPr>
                <w:rFonts w:ascii="Aptos" w:eastAsia="Times New Roman" w:hAnsi="Aptos" w:cs="Times New Roman"/>
                <w:color w:val="000000"/>
                <w:kern w:val="0"/>
                <w:sz w:val="22"/>
                <w:szCs w:val="22"/>
                <w:lang w:eastAsia="en-CA"/>
                <w14:ligatures w14:val="none"/>
              </w:rPr>
            </w:pPr>
            <w:r w:rsidRPr="0090757E">
              <w:rPr>
                <w:rFonts w:ascii="Aptos" w:eastAsia="Times New Roman" w:hAnsi="Aptos" w:cs="Times New Roman"/>
                <w:color w:val="000000"/>
                <w:kern w:val="0"/>
                <w:sz w:val="22"/>
                <w:szCs w:val="22"/>
                <w:lang w:eastAsia="en-CA"/>
                <w14:ligatures w14:val="none"/>
              </w:rPr>
              <w:t>Does this person own reporting accuracy, compliance deadlines, and people operations commitments without exception or deflection across all five sub-functions?</w:t>
            </w:r>
          </w:p>
        </w:tc>
        <w:tc>
          <w:tcPr>
            <w:tcW w:w="992" w:type="dxa"/>
            <w:tcBorders>
              <w:top w:val="nil"/>
              <w:left w:val="nil"/>
              <w:bottom w:val="single" w:sz="4" w:space="0" w:color="auto"/>
              <w:right w:val="single" w:sz="4" w:space="0" w:color="auto"/>
            </w:tcBorders>
            <w:vAlign w:val="center"/>
            <w:hideMark/>
          </w:tcPr>
          <w:p w14:paraId="1BFDEF0F"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1025" w:type="dxa"/>
            <w:tcBorders>
              <w:top w:val="nil"/>
              <w:left w:val="nil"/>
              <w:bottom w:val="single" w:sz="4" w:space="0" w:color="auto"/>
              <w:right w:val="single" w:sz="4" w:space="0" w:color="auto"/>
            </w:tcBorders>
            <w:vAlign w:val="center"/>
            <w:hideMark/>
          </w:tcPr>
          <w:p w14:paraId="77C8CDDD"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830" w:type="dxa"/>
            <w:tcBorders>
              <w:top w:val="nil"/>
              <w:left w:val="nil"/>
              <w:bottom w:val="single" w:sz="4" w:space="0" w:color="auto"/>
              <w:right w:val="single" w:sz="4" w:space="0" w:color="auto"/>
            </w:tcBorders>
            <w:vAlign w:val="center"/>
            <w:hideMark/>
          </w:tcPr>
          <w:p w14:paraId="6D8E990F"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r>
      <w:tr w:rsidR="00A268B5" w:rsidRPr="00A268B5" w14:paraId="0B919FF4" w14:textId="77777777" w:rsidTr="00A268B5">
        <w:trPr>
          <w:trHeight w:val="1172"/>
        </w:trPr>
        <w:tc>
          <w:tcPr>
            <w:tcW w:w="1838" w:type="dxa"/>
            <w:tcBorders>
              <w:top w:val="nil"/>
              <w:left w:val="single" w:sz="4" w:space="0" w:color="auto"/>
              <w:bottom w:val="single" w:sz="4" w:space="0" w:color="auto"/>
              <w:right w:val="single" w:sz="4" w:space="0" w:color="auto"/>
            </w:tcBorders>
            <w:vAlign w:val="center"/>
            <w:hideMark/>
          </w:tcPr>
          <w:p w14:paraId="23AA76CD" w14:textId="77777777" w:rsidR="00A268B5" w:rsidRPr="00A268B5" w:rsidRDefault="00A268B5" w:rsidP="00A268B5">
            <w:pPr>
              <w:spacing w:after="0" w:line="240" w:lineRule="auto"/>
              <w:rPr>
                <w:rFonts w:ascii="Aptos" w:eastAsia="Times New Roman" w:hAnsi="Aptos" w:cs="Times New Roman"/>
                <w:color w:val="000000"/>
                <w:kern w:val="0"/>
                <w:sz w:val="22"/>
                <w:szCs w:val="22"/>
                <w:lang w:eastAsia="en-CA"/>
                <w14:ligatures w14:val="none"/>
              </w:rPr>
            </w:pPr>
            <w:r w:rsidRPr="00A268B5">
              <w:rPr>
                <w:rFonts w:ascii="Aptos" w:eastAsia="Times New Roman" w:hAnsi="Aptos" w:cs="Times New Roman"/>
                <w:color w:val="000000"/>
                <w:kern w:val="0"/>
                <w:sz w:val="22"/>
                <w:szCs w:val="22"/>
                <w:lang w:eastAsia="en-CA"/>
                <w14:ligatures w14:val="none"/>
              </w:rPr>
              <w:t>We are Curious</w:t>
            </w:r>
          </w:p>
        </w:tc>
        <w:tc>
          <w:tcPr>
            <w:tcW w:w="5245" w:type="dxa"/>
            <w:tcBorders>
              <w:top w:val="nil"/>
              <w:left w:val="nil"/>
              <w:bottom w:val="single" w:sz="4" w:space="0" w:color="auto"/>
              <w:right w:val="single" w:sz="4" w:space="0" w:color="auto"/>
            </w:tcBorders>
            <w:vAlign w:val="center"/>
            <w:hideMark/>
          </w:tcPr>
          <w:p w14:paraId="5D9C4D2B" w14:textId="65089ED0" w:rsidR="00A268B5" w:rsidRPr="00A268B5" w:rsidRDefault="0090757E" w:rsidP="00A268B5">
            <w:pPr>
              <w:spacing w:after="0" w:line="240" w:lineRule="auto"/>
              <w:rPr>
                <w:rFonts w:ascii="Aptos" w:eastAsia="Times New Roman" w:hAnsi="Aptos" w:cs="Times New Roman"/>
                <w:color w:val="000000"/>
                <w:kern w:val="0"/>
                <w:sz w:val="22"/>
                <w:szCs w:val="22"/>
                <w:lang w:eastAsia="en-CA"/>
                <w14:ligatures w14:val="none"/>
              </w:rPr>
            </w:pPr>
            <w:r w:rsidRPr="0090757E">
              <w:rPr>
                <w:rFonts w:ascii="Aptos" w:eastAsia="Times New Roman" w:hAnsi="Aptos" w:cs="Times New Roman"/>
                <w:color w:val="000000"/>
                <w:kern w:val="0"/>
                <w:sz w:val="22"/>
                <w:szCs w:val="22"/>
                <w:lang w:eastAsia="en-CA"/>
                <w14:ligatures w14:val="none"/>
              </w:rPr>
              <w:t>Does this person go beyond producing data and process outputs to asking what they mean</w:t>
            </w:r>
            <w:r>
              <w:rPr>
                <w:rFonts w:ascii="Aptos" w:eastAsia="Times New Roman" w:hAnsi="Aptos" w:cs="Times New Roman"/>
                <w:color w:val="000000"/>
                <w:kern w:val="0"/>
                <w:sz w:val="22"/>
                <w:szCs w:val="22"/>
                <w:lang w:eastAsia="en-CA"/>
                <w14:ligatures w14:val="none"/>
              </w:rPr>
              <w:t xml:space="preserve">, </w:t>
            </w:r>
            <w:r w:rsidRPr="0090757E">
              <w:rPr>
                <w:rFonts w:ascii="Aptos" w:eastAsia="Times New Roman" w:hAnsi="Aptos" w:cs="Times New Roman"/>
                <w:color w:val="000000"/>
                <w:kern w:val="0"/>
                <w:sz w:val="22"/>
                <w:szCs w:val="22"/>
                <w:lang w:eastAsia="en-CA"/>
                <w14:ligatures w14:val="none"/>
              </w:rPr>
              <w:t>surfacing variances, risks, and improvement opportunities proactively across finance, HR, legal, IT, and AI tools?</w:t>
            </w:r>
          </w:p>
        </w:tc>
        <w:tc>
          <w:tcPr>
            <w:tcW w:w="992" w:type="dxa"/>
            <w:tcBorders>
              <w:top w:val="nil"/>
              <w:left w:val="nil"/>
              <w:bottom w:val="single" w:sz="4" w:space="0" w:color="auto"/>
              <w:right w:val="single" w:sz="4" w:space="0" w:color="auto"/>
            </w:tcBorders>
            <w:vAlign w:val="center"/>
            <w:hideMark/>
          </w:tcPr>
          <w:p w14:paraId="50495B63"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1025" w:type="dxa"/>
            <w:tcBorders>
              <w:top w:val="nil"/>
              <w:left w:val="nil"/>
              <w:bottom w:val="single" w:sz="4" w:space="0" w:color="auto"/>
              <w:right w:val="single" w:sz="4" w:space="0" w:color="auto"/>
            </w:tcBorders>
            <w:vAlign w:val="center"/>
            <w:hideMark/>
          </w:tcPr>
          <w:p w14:paraId="2943CCF8"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830" w:type="dxa"/>
            <w:tcBorders>
              <w:top w:val="nil"/>
              <w:left w:val="nil"/>
              <w:bottom w:val="single" w:sz="4" w:space="0" w:color="auto"/>
              <w:right w:val="single" w:sz="4" w:space="0" w:color="auto"/>
            </w:tcBorders>
            <w:vAlign w:val="center"/>
            <w:hideMark/>
          </w:tcPr>
          <w:p w14:paraId="291AFE11"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r>
      <w:tr w:rsidR="00A268B5" w:rsidRPr="00A268B5" w14:paraId="4ED73BC5" w14:textId="77777777" w:rsidTr="00A268B5">
        <w:trPr>
          <w:trHeight w:val="1172"/>
        </w:trPr>
        <w:tc>
          <w:tcPr>
            <w:tcW w:w="1838" w:type="dxa"/>
            <w:tcBorders>
              <w:top w:val="nil"/>
              <w:left w:val="single" w:sz="4" w:space="0" w:color="auto"/>
              <w:bottom w:val="single" w:sz="4" w:space="0" w:color="auto"/>
              <w:right w:val="single" w:sz="4" w:space="0" w:color="auto"/>
            </w:tcBorders>
            <w:vAlign w:val="center"/>
            <w:hideMark/>
          </w:tcPr>
          <w:p w14:paraId="6CB21BF2" w14:textId="77777777" w:rsidR="00A268B5" w:rsidRPr="00A268B5" w:rsidRDefault="00A268B5" w:rsidP="00A268B5">
            <w:pPr>
              <w:spacing w:after="0" w:line="240" w:lineRule="auto"/>
              <w:rPr>
                <w:rFonts w:ascii="Aptos" w:eastAsia="Times New Roman" w:hAnsi="Aptos" w:cs="Times New Roman"/>
                <w:color w:val="000000"/>
                <w:kern w:val="0"/>
                <w:sz w:val="22"/>
                <w:szCs w:val="22"/>
                <w:lang w:eastAsia="en-CA"/>
                <w14:ligatures w14:val="none"/>
              </w:rPr>
            </w:pPr>
            <w:r w:rsidRPr="00A268B5">
              <w:rPr>
                <w:rFonts w:ascii="Aptos" w:eastAsia="Times New Roman" w:hAnsi="Aptos" w:cs="Times New Roman"/>
                <w:color w:val="000000"/>
                <w:kern w:val="0"/>
                <w:sz w:val="22"/>
                <w:szCs w:val="22"/>
                <w:lang w:eastAsia="en-CA"/>
                <w14:ligatures w14:val="none"/>
              </w:rPr>
              <w:t>We are Driven</w:t>
            </w:r>
          </w:p>
        </w:tc>
        <w:tc>
          <w:tcPr>
            <w:tcW w:w="5245" w:type="dxa"/>
            <w:tcBorders>
              <w:top w:val="nil"/>
              <w:left w:val="nil"/>
              <w:bottom w:val="single" w:sz="4" w:space="0" w:color="auto"/>
              <w:right w:val="single" w:sz="4" w:space="0" w:color="auto"/>
            </w:tcBorders>
            <w:vAlign w:val="center"/>
            <w:hideMark/>
          </w:tcPr>
          <w:p w14:paraId="07E6F79F" w14:textId="3F88B965" w:rsidR="00A268B5" w:rsidRPr="00A268B5" w:rsidRDefault="003116F4" w:rsidP="00A268B5">
            <w:pPr>
              <w:spacing w:after="0" w:line="240" w:lineRule="auto"/>
              <w:rPr>
                <w:rFonts w:ascii="Aptos" w:eastAsia="Times New Roman" w:hAnsi="Aptos" w:cs="Times New Roman"/>
                <w:color w:val="000000"/>
                <w:kern w:val="0"/>
                <w:sz w:val="22"/>
                <w:szCs w:val="22"/>
                <w:lang w:eastAsia="en-CA"/>
                <w14:ligatures w14:val="none"/>
              </w:rPr>
            </w:pPr>
            <w:r w:rsidRPr="003116F4">
              <w:rPr>
                <w:rFonts w:ascii="Aptos" w:eastAsia="Times New Roman" w:hAnsi="Aptos" w:cs="Times New Roman"/>
                <w:color w:val="000000"/>
                <w:kern w:val="0"/>
                <w:sz w:val="22"/>
                <w:szCs w:val="22"/>
                <w:lang w:eastAsia="en-CA"/>
                <w14:ligatures w14:val="none"/>
              </w:rPr>
              <w:t>Does this person maintain discipline and build infrastructure across all five sub-functions consistently including during high-pressure business periods?</w:t>
            </w:r>
          </w:p>
        </w:tc>
        <w:tc>
          <w:tcPr>
            <w:tcW w:w="992" w:type="dxa"/>
            <w:tcBorders>
              <w:top w:val="nil"/>
              <w:left w:val="nil"/>
              <w:bottom w:val="single" w:sz="4" w:space="0" w:color="auto"/>
              <w:right w:val="single" w:sz="4" w:space="0" w:color="auto"/>
            </w:tcBorders>
            <w:vAlign w:val="center"/>
            <w:hideMark/>
          </w:tcPr>
          <w:p w14:paraId="42B64708"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1025" w:type="dxa"/>
            <w:tcBorders>
              <w:top w:val="nil"/>
              <w:left w:val="nil"/>
              <w:bottom w:val="single" w:sz="4" w:space="0" w:color="auto"/>
              <w:right w:val="single" w:sz="4" w:space="0" w:color="auto"/>
            </w:tcBorders>
            <w:vAlign w:val="center"/>
            <w:hideMark/>
          </w:tcPr>
          <w:p w14:paraId="65CFE78E"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830" w:type="dxa"/>
            <w:tcBorders>
              <w:top w:val="nil"/>
              <w:left w:val="nil"/>
              <w:bottom w:val="single" w:sz="4" w:space="0" w:color="auto"/>
              <w:right w:val="single" w:sz="4" w:space="0" w:color="auto"/>
            </w:tcBorders>
            <w:vAlign w:val="center"/>
            <w:hideMark/>
          </w:tcPr>
          <w:p w14:paraId="73F310C5"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r>
      <w:tr w:rsidR="00A268B5" w:rsidRPr="00A268B5" w14:paraId="0AC302E4" w14:textId="77777777" w:rsidTr="003116F4">
        <w:trPr>
          <w:trHeight w:val="1137"/>
        </w:trPr>
        <w:tc>
          <w:tcPr>
            <w:tcW w:w="1838" w:type="dxa"/>
            <w:tcBorders>
              <w:top w:val="nil"/>
              <w:left w:val="single" w:sz="4" w:space="0" w:color="auto"/>
              <w:bottom w:val="single" w:sz="4" w:space="0" w:color="auto"/>
              <w:right w:val="single" w:sz="4" w:space="0" w:color="auto"/>
            </w:tcBorders>
            <w:vAlign w:val="center"/>
            <w:hideMark/>
          </w:tcPr>
          <w:p w14:paraId="321CC51E" w14:textId="77777777" w:rsidR="00A268B5" w:rsidRPr="00A268B5" w:rsidRDefault="00A268B5" w:rsidP="00A268B5">
            <w:pPr>
              <w:spacing w:after="0" w:line="240" w:lineRule="auto"/>
              <w:rPr>
                <w:rFonts w:ascii="Aptos" w:eastAsia="Times New Roman" w:hAnsi="Aptos" w:cs="Times New Roman"/>
                <w:color w:val="000000"/>
                <w:kern w:val="0"/>
                <w:sz w:val="22"/>
                <w:szCs w:val="22"/>
                <w:lang w:eastAsia="en-CA"/>
                <w14:ligatures w14:val="none"/>
              </w:rPr>
            </w:pPr>
            <w:r w:rsidRPr="00A268B5">
              <w:rPr>
                <w:rFonts w:ascii="Aptos" w:eastAsia="Times New Roman" w:hAnsi="Aptos" w:cs="Times New Roman"/>
                <w:color w:val="000000"/>
                <w:kern w:val="0"/>
                <w:sz w:val="22"/>
                <w:szCs w:val="22"/>
                <w:lang w:eastAsia="en-CA"/>
                <w14:ligatures w14:val="none"/>
              </w:rPr>
              <w:lastRenderedPageBreak/>
              <w:t>We are Nimble</w:t>
            </w:r>
          </w:p>
        </w:tc>
        <w:tc>
          <w:tcPr>
            <w:tcW w:w="5245" w:type="dxa"/>
            <w:tcBorders>
              <w:top w:val="nil"/>
              <w:left w:val="nil"/>
              <w:bottom w:val="single" w:sz="4" w:space="0" w:color="auto"/>
              <w:right w:val="single" w:sz="4" w:space="0" w:color="auto"/>
            </w:tcBorders>
            <w:vAlign w:val="center"/>
            <w:hideMark/>
          </w:tcPr>
          <w:p w14:paraId="14C2CD7E" w14:textId="369498A5" w:rsidR="00A268B5" w:rsidRPr="00A268B5" w:rsidRDefault="003116F4" w:rsidP="00A268B5">
            <w:pPr>
              <w:spacing w:after="0" w:line="240" w:lineRule="auto"/>
              <w:rPr>
                <w:rFonts w:ascii="Aptos" w:eastAsia="Times New Roman" w:hAnsi="Aptos" w:cs="Times New Roman"/>
                <w:color w:val="000000"/>
                <w:kern w:val="0"/>
                <w:sz w:val="22"/>
                <w:szCs w:val="22"/>
                <w:lang w:eastAsia="en-CA"/>
                <w14:ligatures w14:val="none"/>
              </w:rPr>
            </w:pPr>
            <w:r w:rsidRPr="003116F4">
              <w:rPr>
                <w:rFonts w:ascii="Aptos" w:eastAsia="Times New Roman" w:hAnsi="Aptos" w:cs="Times New Roman"/>
                <w:color w:val="000000"/>
                <w:kern w:val="0"/>
                <w:sz w:val="22"/>
                <w:szCs w:val="22"/>
                <w:lang w:eastAsia="en-CA"/>
                <w14:ligatures w14:val="none"/>
              </w:rPr>
              <w:t>Does this person respond quickly and accurately when the business needs enterprise support input for time-sensitive decisions without sacrificing the rigour that makes the input trustworthy?</w:t>
            </w:r>
          </w:p>
        </w:tc>
        <w:tc>
          <w:tcPr>
            <w:tcW w:w="992" w:type="dxa"/>
            <w:tcBorders>
              <w:top w:val="nil"/>
              <w:left w:val="nil"/>
              <w:bottom w:val="single" w:sz="4" w:space="0" w:color="auto"/>
              <w:right w:val="single" w:sz="4" w:space="0" w:color="auto"/>
            </w:tcBorders>
            <w:vAlign w:val="center"/>
            <w:hideMark/>
          </w:tcPr>
          <w:p w14:paraId="10521A17"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1025" w:type="dxa"/>
            <w:tcBorders>
              <w:top w:val="nil"/>
              <w:left w:val="nil"/>
              <w:bottom w:val="single" w:sz="4" w:space="0" w:color="auto"/>
              <w:right w:val="single" w:sz="4" w:space="0" w:color="auto"/>
            </w:tcBorders>
            <w:vAlign w:val="center"/>
            <w:hideMark/>
          </w:tcPr>
          <w:p w14:paraId="38BFAA7D"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830" w:type="dxa"/>
            <w:tcBorders>
              <w:top w:val="nil"/>
              <w:left w:val="nil"/>
              <w:bottom w:val="single" w:sz="4" w:space="0" w:color="auto"/>
              <w:right w:val="single" w:sz="4" w:space="0" w:color="auto"/>
            </w:tcBorders>
            <w:vAlign w:val="center"/>
            <w:hideMark/>
          </w:tcPr>
          <w:p w14:paraId="2BFC57DA"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r>
      <w:tr w:rsidR="00A268B5" w:rsidRPr="00A268B5" w14:paraId="0D0D7D0B" w14:textId="77777777" w:rsidTr="00DF2A05">
        <w:trPr>
          <w:trHeight w:val="1126"/>
        </w:trPr>
        <w:tc>
          <w:tcPr>
            <w:tcW w:w="1838" w:type="dxa"/>
            <w:tcBorders>
              <w:top w:val="nil"/>
              <w:left w:val="single" w:sz="4" w:space="0" w:color="auto"/>
              <w:bottom w:val="single" w:sz="4" w:space="0" w:color="auto"/>
              <w:right w:val="single" w:sz="4" w:space="0" w:color="auto"/>
            </w:tcBorders>
            <w:vAlign w:val="center"/>
            <w:hideMark/>
          </w:tcPr>
          <w:p w14:paraId="76529D3F" w14:textId="77777777" w:rsidR="00A268B5" w:rsidRPr="00A268B5" w:rsidRDefault="00A268B5" w:rsidP="00A268B5">
            <w:pPr>
              <w:spacing w:after="0" w:line="240" w:lineRule="auto"/>
              <w:rPr>
                <w:rFonts w:ascii="Aptos" w:eastAsia="Times New Roman" w:hAnsi="Aptos" w:cs="Times New Roman"/>
                <w:color w:val="000000"/>
                <w:kern w:val="0"/>
                <w:sz w:val="22"/>
                <w:szCs w:val="22"/>
                <w:lang w:eastAsia="en-CA"/>
                <w14:ligatures w14:val="none"/>
              </w:rPr>
            </w:pPr>
            <w:r w:rsidRPr="00A268B5">
              <w:rPr>
                <w:rFonts w:ascii="Aptos" w:eastAsia="Times New Roman" w:hAnsi="Aptos" w:cs="Times New Roman"/>
                <w:color w:val="000000"/>
                <w:kern w:val="0"/>
                <w:sz w:val="22"/>
                <w:szCs w:val="22"/>
                <w:lang w:eastAsia="en-CA"/>
                <w14:ligatures w14:val="none"/>
              </w:rPr>
              <w:t>We are Relationship-focused</w:t>
            </w:r>
          </w:p>
        </w:tc>
        <w:tc>
          <w:tcPr>
            <w:tcW w:w="5245" w:type="dxa"/>
            <w:tcBorders>
              <w:top w:val="nil"/>
              <w:left w:val="nil"/>
              <w:bottom w:val="single" w:sz="4" w:space="0" w:color="auto"/>
              <w:right w:val="single" w:sz="4" w:space="0" w:color="auto"/>
            </w:tcBorders>
            <w:vAlign w:val="center"/>
            <w:hideMark/>
          </w:tcPr>
          <w:p w14:paraId="5A677179" w14:textId="00280C7D" w:rsidR="00A268B5" w:rsidRPr="00A268B5" w:rsidRDefault="00DF2A05" w:rsidP="00A268B5">
            <w:pPr>
              <w:spacing w:after="0" w:line="240" w:lineRule="auto"/>
              <w:rPr>
                <w:rFonts w:ascii="Aptos" w:eastAsia="Times New Roman" w:hAnsi="Aptos" w:cs="Times New Roman"/>
                <w:color w:val="000000"/>
                <w:kern w:val="0"/>
                <w:sz w:val="22"/>
                <w:szCs w:val="22"/>
                <w:lang w:eastAsia="en-CA"/>
                <w14:ligatures w14:val="none"/>
              </w:rPr>
            </w:pPr>
            <w:r w:rsidRPr="00DF2A05">
              <w:rPr>
                <w:rFonts w:ascii="Aptos" w:eastAsia="Times New Roman" w:hAnsi="Aptos" w:cs="Times New Roman"/>
                <w:color w:val="000000"/>
                <w:kern w:val="0"/>
                <w:sz w:val="22"/>
                <w:szCs w:val="22"/>
                <w:lang w:eastAsia="en-CA"/>
                <w14:ligatures w14:val="none"/>
              </w:rPr>
              <w:t>Does this person build internal trust across the full team making finance, HR, legal, and IT functions people want to engage with rather than work around?</w:t>
            </w:r>
          </w:p>
        </w:tc>
        <w:tc>
          <w:tcPr>
            <w:tcW w:w="992" w:type="dxa"/>
            <w:tcBorders>
              <w:top w:val="nil"/>
              <w:left w:val="nil"/>
              <w:bottom w:val="single" w:sz="4" w:space="0" w:color="auto"/>
              <w:right w:val="single" w:sz="4" w:space="0" w:color="auto"/>
            </w:tcBorders>
            <w:vAlign w:val="center"/>
            <w:hideMark/>
          </w:tcPr>
          <w:p w14:paraId="4D7904E6"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1025" w:type="dxa"/>
            <w:tcBorders>
              <w:top w:val="nil"/>
              <w:left w:val="nil"/>
              <w:bottom w:val="single" w:sz="4" w:space="0" w:color="auto"/>
              <w:right w:val="single" w:sz="4" w:space="0" w:color="auto"/>
            </w:tcBorders>
            <w:vAlign w:val="center"/>
            <w:hideMark/>
          </w:tcPr>
          <w:p w14:paraId="36BDD282"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830" w:type="dxa"/>
            <w:tcBorders>
              <w:top w:val="nil"/>
              <w:left w:val="nil"/>
              <w:bottom w:val="single" w:sz="4" w:space="0" w:color="auto"/>
              <w:right w:val="single" w:sz="4" w:space="0" w:color="auto"/>
            </w:tcBorders>
            <w:vAlign w:val="center"/>
            <w:hideMark/>
          </w:tcPr>
          <w:p w14:paraId="2B418EBC"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r>
      <w:tr w:rsidR="00A268B5" w:rsidRPr="00A268B5" w14:paraId="7C8F378F" w14:textId="77777777" w:rsidTr="00A268B5">
        <w:trPr>
          <w:trHeight w:val="1172"/>
        </w:trPr>
        <w:tc>
          <w:tcPr>
            <w:tcW w:w="1838" w:type="dxa"/>
            <w:tcBorders>
              <w:top w:val="nil"/>
              <w:left w:val="single" w:sz="4" w:space="0" w:color="auto"/>
              <w:bottom w:val="single" w:sz="4" w:space="0" w:color="auto"/>
              <w:right w:val="single" w:sz="4" w:space="0" w:color="auto"/>
            </w:tcBorders>
            <w:vAlign w:val="center"/>
            <w:hideMark/>
          </w:tcPr>
          <w:p w14:paraId="5982D20E" w14:textId="77777777" w:rsidR="00A268B5" w:rsidRPr="00A268B5" w:rsidRDefault="00A268B5" w:rsidP="00A268B5">
            <w:pPr>
              <w:spacing w:after="0" w:line="240" w:lineRule="auto"/>
              <w:rPr>
                <w:rFonts w:ascii="Aptos" w:eastAsia="Times New Roman" w:hAnsi="Aptos" w:cs="Times New Roman"/>
                <w:color w:val="000000"/>
                <w:kern w:val="0"/>
                <w:sz w:val="22"/>
                <w:szCs w:val="22"/>
                <w:lang w:eastAsia="en-CA"/>
                <w14:ligatures w14:val="none"/>
              </w:rPr>
            </w:pPr>
            <w:r w:rsidRPr="00A268B5">
              <w:rPr>
                <w:rFonts w:ascii="Aptos" w:eastAsia="Times New Roman" w:hAnsi="Aptos" w:cs="Times New Roman"/>
                <w:color w:val="000000"/>
                <w:kern w:val="0"/>
                <w:sz w:val="22"/>
                <w:szCs w:val="22"/>
                <w:lang w:eastAsia="en-CA"/>
                <w14:ligatures w14:val="none"/>
              </w:rPr>
              <w:t>Gets It</w:t>
            </w:r>
          </w:p>
        </w:tc>
        <w:tc>
          <w:tcPr>
            <w:tcW w:w="5245" w:type="dxa"/>
            <w:tcBorders>
              <w:top w:val="nil"/>
              <w:left w:val="nil"/>
              <w:bottom w:val="single" w:sz="4" w:space="0" w:color="auto"/>
              <w:right w:val="single" w:sz="4" w:space="0" w:color="auto"/>
            </w:tcBorders>
            <w:vAlign w:val="center"/>
            <w:hideMark/>
          </w:tcPr>
          <w:p w14:paraId="0AC152BC" w14:textId="679EE76E" w:rsidR="00A268B5" w:rsidRPr="00A268B5" w:rsidRDefault="00DF2A05" w:rsidP="00A268B5">
            <w:pPr>
              <w:spacing w:after="0" w:line="240" w:lineRule="auto"/>
              <w:rPr>
                <w:rFonts w:ascii="Aptos" w:eastAsia="Times New Roman" w:hAnsi="Aptos" w:cs="Times New Roman"/>
                <w:color w:val="000000"/>
                <w:kern w:val="0"/>
                <w:sz w:val="22"/>
                <w:szCs w:val="22"/>
                <w:lang w:eastAsia="en-CA"/>
                <w14:ligatures w14:val="none"/>
              </w:rPr>
            </w:pPr>
            <w:r w:rsidRPr="00DF2A05">
              <w:rPr>
                <w:rFonts w:ascii="Aptos" w:eastAsia="Times New Roman" w:hAnsi="Aptos" w:cs="Times New Roman"/>
                <w:color w:val="000000"/>
                <w:kern w:val="0"/>
                <w:sz w:val="22"/>
                <w:szCs w:val="22"/>
                <w:lang w:eastAsia="en-CA"/>
                <w14:ligatures w14:val="none"/>
              </w:rPr>
              <w:t>Does this person understand that their job is to keep WKT operationally trustworthy across five distinct domains and lead each with the rigour and care it requires?</w:t>
            </w:r>
          </w:p>
        </w:tc>
        <w:tc>
          <w:tcPr>
            <w:tcW w:w="992" w:type="dxa"/>
            <w:tcBorders>
              <w:top w:val="nil"/>
              <w:left w:val="nil"/>
              <w:bottom w:val="single" w:sz="4" w:space="0" w:color="auto"/>
              <w:right w:val="single" w:sz="4" w:space="0" w:color="auto"/>
            </w:tcBorders>
            <w:vAlign w:val="center"/>
            <w:hideMark/>
          </w:tcPr>
          <w:p w14:paraId="358F9C23"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1025" w:type="dxa"/>
            <w:tcBorders>
              <w:top w:val="nil"/>
              <w:left w:val="nil"/>
              <w:bottom w:val="single" w:sz="4" w:space="0" w:color="auto"/>
              <w:right w:val="single" w:sz="4" w:space="0" w:color="auto"/>
            </w:tcBorders>
            <w:vAlign w:val="center"/>
            <w:hideMark/>
          </w:tcPr>
          <w:p w14:paraId="6165BA23"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830" w:type="dxa"/>
            <w:tcBorders>
              <w:top w:val="nil"/>
              <w:left w:val="nil"/>
              <w:bottom w:val="single" w:sz="4" w:space="0" w:color="auto"/>
              <w:right w:val="single" w:sz="4" w:space="0" w:color="auto"/>
            </w:tcBorders>
            <w:vAlign w:val="center"/>
            <w:hideMark/>
          </w:tcPr>
          <w:p w14:paraId="16A2BF3D"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r>
      <w:tr w:rsidR="00A268B5" w:rsidRPr="00A268B5" w14:paraId="60714333" w14:textId="77777777" w:rsidTr="00A268B5">
        <w:trPr>
          <w:trHeight w:val="1465"/>
        </w:trPr>
        <w:tc>
          <w:tcPr>
            <w:tcW w:w="1838" w:type="dxa"/>
            <w:tcBorders>
              <w:top w:val="nil"/>
              <w:left w:val="single" w:sz="4" w:space="0" w:color="auto"/>
              <w:bottom w:val="single" w:sz="4" w:space="0" w:color="auto"/>
              <w:right w:val="single" w:sz="4" w:space="0" w:color="auto"/>
            </w:tcBorders>
            <w:vAlign w:val="center"/>
            <w:hideMark/>
          </w:tcPr>
          <w:p w14:paraId="1D537631" w14:textId="77777777" w:rsidR="00A268B5" w:rsidRPr="00A268B5" w:rsidRDefault="00A268B5" w:rsidP="00A268B5">
            <w:pPr>
              <w:spacing w:after="0" w:line="240" w:lineRule="auto"/>
              <w:rPr>
                <w:rFonts w:ascii="Aptos" w:eastAsia="Times New Roman" w:hAnsi="Aptos" w:cs="Times New Roman"/>
                <w:color w:val="000000"/>
                <w:kern w:val="0"/>
                <w:sz w:val="22"/>
                <w:szCs w:val="22"/>
                <w:lang w:eastAsia="en-CA"/>
                <w14:ligatures w14:val="none"/>
              </w:rPr>
            </w:pPr>
            <w:r w:rsidRPr="00A268B5">
              <w:rPr>
                <w:rFonts w:ascii="Aptos" w:eastAsia="Times New Roman" w:hAnsi="Aptos" w:cs="Times New Roman"/>
                <w:color w:val="000000"/>
                <w:kern w:val="0"/>
                <w:sz w:val="22"/>
                <w:szCs w:val="22"/>
                <w:lang w:eastAsia="en-CA"/>
                <w14:ligatures w14:val="none"/>
              </w:rPr>
              <w:t>Wants It</w:t>
            </w:r>
          </w:p>
        </w:tc>
        <w:tc>
          <w:tcPr>
            <w:tcW w:w="5245" w:type="dxa"/>
            <w:tcBorders>
              <w:top w:val="nil"/>
              <w:left w:val="nil"/>
              <w:bottom w:val="single" w:sz="4" w:space="0" w:color="auto"/>
              <w:right w:val="single" w:sz="4" w:space="0" w:color="auto"/>
            </w:tcBorders>
            <w:vAlign w:val="center"/>
            <w:hideMark/>
          </w:tcPr>
          <w:p w14:paraId="25E9F86A" w14:textId="45ABC609" w:rsidR="00A268B5" w:rsidRPr="00A268B5" w:rsidRDefault="00D009D4" w:rsidP="00A268B5">
            <w:pPr>
              <w:spacing w:after="0" w:line="240" w:lineRule="auto"/>
              <w:rPr>
                <w:rFonts w:ascii="Aptos" w:eastAsia="Times New Roman" w:hAnsi="Aptos" w:cs="Times New Roman"/>
                <w:color w:val="000000"/>
                <w:kern w:val="0"/>
                <w:sz w:val="22"/>
                <w:szCs w:val="22"/>
                <w:lang w:eastAsia="en-CA"/>
                <w14:ligatures w14:val="none"/>
              </w:rPr>
            </w:pPr>
            <w:r w:rsidRPr="00D009D4">
              <w:rPr>
                <w:rFonts w:ascii="Aptos" w:eastAsia="Times New Roman" w:hAnsi="Aptos" w:cs="Times New Roman"/>
                <w:color w:val="000000"/>
                <w:kern w:val="0"/>
                <w:sz w:val="22"/>
                <w:szCs w:val="22"/>
                <w:lang w:eastAsia="en-CA"/>
                <w14:ligatures w14:val="none"/>
              </w:rPr>
              <w:t>Does this person actively want the full breadth of this seat including the HR conversations, the compliance governance, the banking and funding relationships, and the IT and AI tools work, not just the financial advisory moments?</w:t>
            </w:r>
          </w:p>
        </w:tc>
        <w:tc>
          <w:tcPr>
            <w:tcW w:w="992" w:type="dxa"/>
            <w:tcBorders>
              <w:top w:val="nil"/>
              <w:left w:val="nil"/>
              <w:bottom w:val="single" w:sz="4" w:space="0" w:color="auto"/>
              <w:right w:val="single" w:sz="4" w:space="0" w:color="auto"/>
            </w:tcBorders>
            <w:vAlign w:val="center"/>
            <w:hideMark/>
          </w:tcPr>
          <w:p w14:paraId="1BEBC058"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1025" w:type="dxa"/>
            <w:tcBorders>
              <w:top w:val="nil"/>
              <w:left w:val="nil"/>
              <w:bottom w:val="single" w:sz="4" w:space="0" w:color="auto"/>
              <w:right w:val="single" w:sz="4" w:space="0" w:color="auto"/>
            </w:tcBorders>
            <w:vAlign w:val="center"/>
            <w:hideMark/>
          </w:tcPr>
          <w:p w14:paraId="3E3EAE89"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830" w:type="dxa"/>
            <w:tcBorders>
              <w:top w:val="nil"/>
              <w:left w:val="nil"/>
              <w:bottom w:val="single" w:sz="4" w:space="0" w:color="auto"/>
              <w:right w:val="single" w:sz="4" w:space="0" w:color="auto"/>
            </w:tcBorders>
            <w:vAlign w:val="center"/>
            <w:hideMark/>
          </w:tcPr>
          <w:p w14:paraId="05BA8AF3"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r>
      <w:tr w:rsidR="00A268B5" w:rsidRPr="00A268B5" w14:paraId="26FAE967" w14:textId="77777777" w:rsidTr="00A268B5">
        <w:trPr>
          <w:trHeight w:val="1465"/>
        </w:trPr>
        <w:tc>
          <w:tcPr>
            <w:tcW w:w="1838" w:type="dxa"/>
            <w:tcBorders>
              <w:top w:val="nil"/>
              <w:left w:val="single" w:sz="4" w:space="0" w:color="auto"/>
              <w:bottom w:val="single" w:sz="4" w:space="0" w:color="auto"/>
              <w:right w:val="single" w:sz="4" w:space="0" w:color="auto"/>
            </w:tcBorders>
            <w:vAlign w:val="center"/>
            <w:hideMark/>
          </w:tcPr>
          <w:p w14:paraId="742BDAD5" w14:textId="77777777" w:rsidR="00A268B5" w:rsidRPr="00A268B5" w:rsidRDefault="00A268B5" w:rsidP="00A268B5">
            <w:pPr>
              <w:spacing w:after="0" w:line="240" w:lineRule="auto"/>
              <w:rPr>
                <w:rFonts w:ascii="Aptos" w:eastAsia="Times New Roman" w:hAnsi="Aptos" w:cs="Times New Roman"/>
                <w:color w:val="000000"/>
                <w:kern w:val="0"/>
                <w:sz w:val="22"/>
                <w:szCs w:val="22"/>
                <w:lang w:eastAsia="en-CA"/>
                <w14:ligatures w14:val="none"/>
              </w:rPr>
            </w:pPr>
            <w:r w:rsidRPr="00A268B5">
              <w:rPr>
                <w:rFonts w:ascii="Aptos" w:eastAsia="Times New Roman" w:hAnsi="Aptos" w:cs="Times New Roman"/>
                <w:color w:val="000000"/>
                <w:kern w:val="0"/>
                <w:sz w:val="22"/>
                <w:szCs w:val="22"/>
                <w:lang w:eastAsia="en-CA"/>
                <w14:ligatures w14:val="none"/>
              </w:rPr>
              <w:t>Capacity to Do It</w:t>
            </w:r>
          </w:p>
        </w:tc>
        <w:tc>
          <w:tcPr>
            <w:tcW w:w="5245" w:type="dxa"/>
            <w:tcBorders>
              <w:top w:val="nil"/>
              <w:left w:val="nil"/>
              <w:bottom w:val="single" w:sz="4" w:space="0" w:color="auto"/>
              <w:right w:val="single" w:sz="4" w:space="0" w:color="auto"/>
            </w:tcBorders>
            <w:vAlign w:val="center"/>
            <w:hideMark/>
          </w:tcPr>
          <w:p w14:paraId="51771F61" w14:textId="0CF77197" w:rsidR="00A268B5" w:rsidRPr="00A268B5" w:rsidRDefault="007C56D3" w:rsidP="00A268B5">
            <w:pPr>
              <w:spacing w:after="0" w:line="240" w:lineRule="auto"/>
              <w:rPr>
                <w:rFonts w:ascii="Aptos" w:eastAsia="Times New Roman" w:hAnsi="Aptos" w:cs="Times New Roman"/>
                <w:color w:val="000000"/>
                <w:kern w:val="0"/>
                <w:sz w:val="22"/>
                <w:szCs w:val="22"/>
                <w:lang w:eastAsia="en-CA"/>
                <w14:ligatures w14:val="none"/>
              </w:rPr>
            </w:pPr>
            <w:r w:rsidRPr="007C56D3">
              <w:rPr>
                <w:rFonts w:ascii="Aptos" w:eastAsia="Times New Roman" w:hAnsi="Aptos" w:cs="Times New Roman"/>
                <w:color w:val="000000"/>
                <w:kern w:val="0"/>
                <w:sz w:val="22"/>
                <w:szCs w:val="22"/>
                <w:lang w:eastAsia="en-CA"/>
                <w14:ligatures w14:val="none"/>
              </w:rPr>
              <w:t>Does this person have the technical finance depth, people leadership range, and operational discipline to govern five enterprise support sub-functions at WKT's current and coming complexity?</w:t>
            </w:r>
          </w:p>
        </w:tc>
        <w:tc>
          <w:tcPr>
            <w:tcW w:w="992" w:type="dxa"/>
            <w:tcBorders>
              <w:top w:val="nil"/>
              <w:left w:val="nil"/>
              <w:bottom w:val="single" w:sz="4" w:space="0" w:color="auto"/>
              <w:right w:val="single" w:sz="4" w:space="0" w:color="auto"/>
            </w:tcBorders>
            <w:vAlign w:val="center"/>
            <w:hideMark/>
          </w:tcPr>
          <w:p w14:paraId="61FBABC5"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1025" w:type="dxa"/>
            <w:tcBorders>
              <w:top w:val="nil"/>
              <w:left w:val="nil"/>
              <w:bottom w:val="single" w:sz="4" w:space="0" w:color="auto"/>
              <w:right w:val="single" w:sz="4" w:space="0" w:color="auto"/>
            </w:tcBorders>
            <w:vAlign w:val="center"/>
            <w:hideMark/>
          </w:tcPr>
          <w:p w14:paraId="0EF9951D"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c>
          <w:tcPr>
            <w:tcW w:w="830" w:type="dxa"/>
            <w:tcBorders>
              <w:top w:val="nil"/>
              <w:left w:val="nil"/>
              <w:bottom w:val="single" w:sz="4" w:space="0" w:color="auto"/>
              <w:right w:val="single" w:sz="4" w:space="0" w:color="auto"/>
            </w:tcBorders>
            <w:vAlign w:val="center"/>
            <w:hideMark/>
          </w:tcPr>
          <w:p w14:paraId="17DA2645" w14:textId="77777777" w:rsidR="00A268B5" w:rsidRPr="00A268B5" w:rsidRDefault="00A268B5" w:rsidP="00A268B5">
            <w:pPr>
              <w:spacing w:after="0" w:line="240" w:lineRule="auto"/>
              <w:jc w:val="center"/>
              <w:rPr>
                <w:rFonts w:ascii="Aptos" w:eastAsia="Times New Roman" w:hAnsi="Aptos" w:cs="Times New Roman"/>
                <w:color w:val="000000"/>
                <w:kern w:val="0"/>
                <w:lang w:eastAsia="en-CA"/>
                <w14:ligatures w14:val="none"/>
              </w:rPr>
            </w:pPr>
            <w:r w:rsidRPr="00A268B5">
              <w:rPr>
                <w:rFonts w:ascii="Aptos" w:eastAsia="Times New Roman" w:hAnsi="Aptos" w:cs="Times New Roman"/>
                <w:color w:val="000000"/>
                <w:kern w:val="0"/>
                <w:lang w:eastAsia="en-CA"/>
                <w14:ligatures w14:val="none"/>
              </w:rPr>
              <w:t> </w:t>
            </w:r>
          </w:p>
        </w:tc>
      </w:tr>
    </w:tbl>
    <w:p w14:paraId="0BC77896" w14:textId="69CA3C7C" w:rsidR="00F74371" w:rsidRPr="00F74371" w:rsidRDefault="00F74371" w:rsidP="00F74371">
      <w:pPr>
        <w:spacing w:before="120" w:after="120" w:line="276" w:lineRule="auto"/>
        <w:rPr>
          <w:sz w:val="22"/>
          <w:szCs w:val="22"/>
        </w:rPr>
      </w:pPr>
    </w:p>
    <w:p w14:paraId="7E69B6FB" w14:textId="77777777" w:rsidR="00F74371" w:rsidRPr="00F74371" w:rsidRDefault="00F74371" w:rsidP="00A268B5">
      <w:pPr>
        <w:pStyle w:val="Heading2"/>
      </w:pPr>
      <w:r w:rsidRPr="00F74371">
        <w:t>Quarterly Conversation Notes</w:t>
      </w:r>
    </w:p>
    <w:tbl>
      <w:tblPr>
        <w:tblW w:w="9388" w:type="dxa"/>
        <w:tblLook w:val="04A0" w:firstRow="1" w:lastRow="0" w:firstColumn="1" w:lastColumn="0" w:noHBand="0" w:noVBand="1"/>
      </w:tblPr>
      <w:tblGrid>
        <w:gridCol w:w="1103"/>
        <w:gridCol w:w="4078"/>
        <w:gridCol w:w="2097"/>
        <w:gridCol w:w="2110"/>
      </w:tblGrid>
      <w:tr w:rsidR="0001565F" w:rsidRPr="00084CED" w14:paraId="08257BAC" w14:textId="77777777" w:rsidTr="008606DF">
        <w:trPr>
          <w:trHeight w:val="685"/>
        </w:trPr>
        <w:tc>
          <w:tcPr>
            <w:tcW w:w="1103" w:type="dxa"/>
            <w:tcBorders>
              <w:top w:val="single" w:sz="8" w:space="0" w:color="auto"/>
              <w:left w:val="single" w:sz="8" w:space="0" w:color="auto"/>
              <w:bottom w:val="single" w:sz="8" w:space="0" w:color="auto"/>
              <w:right w:val="single" w:sz="8" w:space="0" w:color="auto"/>
            </w:tcBorders>
            <w:vAlign w:val="center"/>
            <w:hideMark/>
          </w:tcPr>
          <w:p w14:paraId="69E6CE95" w14:textId="77777777" w:rsidR="0001565F" w:rsidRPr="00084CED" w:rsidRDefault="0001565F"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Date</w:t>
            </w:r>
          </w:p>
        </w:tc>
        <w:tc>
          <w:tcPr>
            <w:tcW w:w="4078" w:type="dxa"/>
            <w:tcBorders>
              <w:top w:val="single" w:sz="8" w:space="0" w:color="auto"/>
              <w:left w:val="nil"/>
              <w:bottom w:val="single" w:sz="8" w:space="0" w:color="auto"/>
              <w:right w:val="single" w:sz="8" w:space="0" w:color="auto"/>
            </w:tcBorders>
            <w:vAlign w:val="center"/>
            <w:hideMark/>
          </w:tcPr>
          <w:p w14:paraId="569026CD" w14:textId="77777777" w:rsidR="0001565F" w:rsidRPr="00084CED" w:rsidRDefault="0001565F"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Rock Completion</w:t>
            </w:r>
          </w:p>
        </w:tc>
        <w:tc>
          <w:tcPr>
            <w:tcW w:w="2097" w:type="dxa"/>
            <w:tcBorders>
              <w:top w:val="single" w:sz="8" w:space="0" w:color="auto"/>
              <w:left w:val="nil"/>
              <w:bottom w:val="single" w:sz="8" w:space="0" w:color="auto"/>
              <w:right w:val="single" w:sz="8" w:space="0" w:color="auto"/>
            </w:tcBorders>
            <w:vAlign w:val="center"/>
            <w:hideMark/>
          </w:tcPr>
          <w:p w14:paraId="732D7D28" w14:textId="77777777" w:rsidR="0001565F" w:rsidRPr="00084CED" w:rsidRDefault="0001565F"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Issues / Observations</w:t>
            </w:r>
          </w:p>
        </w:tc>
        <w:tc>
          <w:tcPr>
            <w:tcW w:w="2110" w:type="dxa"/>
            <w:tcBorders>
              <w:top w:val="single" w:sz="8" w:space="0" w:color="auto"/>
              <w:left w:val="nil"/>
              <w:bottom w:val="single" w:sz="8" w:space="0" w:color="auto"/>
              <w:right w:val="single" w:sz="8" w:space="0" w:color="auto"/>
            </w:tcBorders>
            <w:vAlign w:val="center"/>
            <w:hideMark/>
          </w:tcPr>
          <w:p w14:paraId="33275CF2" w14:textId="77777777" w:rsidR="0001565F" w:rsidRPr="00084CED" w:rsidRDefault="0001565F" w:rsidP="008606DF">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Development Notes</w:t>
            </w:r>
          </w:p>
        </w:tc>
      </w:tr>
      <w:tr w:rsidR="0001565F" w:rsidRPr="00084CED" w14:paraId="705B2D45"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21061B1A"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024A6EF8"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7C8FCE3F"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33E842E5"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01565F" w:rsidRPr="00084CED" w14:paraId="0E965E02"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74E4A759"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02F50822"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0D45AB24"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44C32CB1"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01565F" w:rsidRPr="00084CED" w14:paraId="552801BD" w14:textId="77777777" w:rsidTr="008606DF">
        <w:trPr>
          <w:trHeight w:val="452"/>
        </w:trPr>
        <w:tc>
          <w:tcPr>
            <w:tcW w:w="1103" w:type="dxa"/>
            <w:tcBorders>
              <w:top w:val="nil"/>
              <w:left w:val="single" w:sz="8" w:space="0" w:color="auto"/>
              <w:bottom w:val="single" w:sz="8" w:space="0" w:color="auto"/>
              <w:right w:val="single" w:sz="8" w:space="0" w:color="auto"/>
            </w:tcBorders>
            <w:vAlign w:val="center"/>
          </w:tcPr>
          <w:p w14:paraId="39A12381"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p>
        </w:tc>
        <w:tc>
          <w:tcPr>
            <w:tcW w:w="4078" w:type="dxa"/>
            <w:tcBorders>
              <w:top w:val="nil"/>
              <w:left w:val="nil"/>
              <w:bottom w:val="single" w:sz="8" w:space="0" w:color="auto"/>
              <w:right w:val="single" w:sz="8" w:space="0" w:color="auto"/>
            </w:tcBorders>
            <w:vAlign w:val="center"/>
          </w:tcPr>
          <w:p w14:paraId="75DBEF37"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p>
        </w:tc>
        <w:tc>
          <w:tcPr>
            <w:tcW w:w="2097" w:type="dxa"/>
            <w:tcBorders>
              <w:top w:val="nil"/>
              <w:left w:val="nil"/>
              <w:bottom w:val="single" w:sz="8" w:space="0" w:color="auto"/>
              <w:right w:val="single" w:sz="8" w:space="0" w:color="auto"/>
            </w:tcBorders>
            <w:vAlign w:val="center"/>
          </w:tcPr>
          <w:p w14:paraId="11750BA4"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p>
        </w:tc>
        <w:tc>
          <w:tcPr>
            <w:tcW w:w="2110" w:type="dxa"/>
            <w:tcBorders>
              <w:top w:val="nil"/>
              <w:left w:val="nil"/>
              <w:bottom w:val="single" w:sz="8" w:space="0" w:color="auto"/>
              <w:right w:val="single" w:sz="8" w:space="0" w:color="auto"/>
            </w:tcBorders>
            <w:vAlign w:val="center"/>
          </w:tcPr>
          <w:p w14:paraId="524C5364"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p>
        </w:tc>
      </w:tr>
      <w:tr w:rsidR="0001565F" w:rsidRPr="00084CED" w14:paraId="2C71AEE4" w14:textId="77777777" w:rsidTr="008606DF">
        <w:trPr>
          <w:trHeight w:val="452"/>
        </w:trPr>
        <w:tc>
          <w:tcPr>
            <w:tcW w:w="1103" w:type="dxa"/>
            <w:tcBorders>
              <w:top w:val="nil"/>
              <w:left w:val="single" w:sz="8" w:space="0" w:color="auto"/>
              <w:bottom w:val="single" w:sz="8" w:space="0" w:color="auto"/>
              <w:right w:val="single" w:sz="8" w:space="0" w:color="auto"/>
            </w:tcBorders>
            <w:vAlign w:val="center"/>
            <w:hideMark/>
          </w:tcPr>
          <w:p w14:paraId="7AD78467"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38FF4DF7"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355EE1F6"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140F5D0E" w14:textId="77777777" w:rsidR="0001565F" w:rsidRPr="00084CED" w:rsidRDefault="0001565F" w:rsidP="008606DF">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bl>
    <w:p w14:paraId="6818C66D" w14:textId="009B8916" w:rsidR="00F74371" w:rsidRPr="00F74371" w:rsidRDefault="00F74371" w:rsidP="00F74371">
      <w:pPr>
        <w:spacing w:before="120" w:after="120" w:line="276" w:lineRule="auto"/>
        <w:rPr>
          <w:sz w:val="22"/>
          <w:szCs w:val="22"/>
        </w:rPr>
      </w:pPr>
    </w:p>
    <w:p w14:paraId="5D7C99B0" w14:textId="77777777" w:rsidR="0001565F" w:rsidRDefault="0001565F">
      <w:pPr>
        <w:rPr>
          <w:b/>
          <w:bCs/>
          <w:sz w:val="22"/>
          <w:szCs w:val="22"/>
        </w:rPr>
      </w:pPr>
      <w:r>
        <w:rPr>
          <w:b/>
          <w:bCs/>
          <w:sz w:val="22"/>
          <w:szCs w:val="22"/>
        </w:rPr>
        <w:br w:type="page"/>
      </w:r>
    </w:p>
    <w:p w14:paraId="19812D19" w14:textId="20F476C1" w:rsidR="00F74371" w:rsidRPr="00F74371" w:rsidRDefault="00F74371" w:rsidP="0001565F">
      <w:pPr>
        <w:pStyle w:val="Heading2"/>
      </w:pPr>
      <w:r w:rsidRPr="00F74371">
        <w:lastRenderedPageBreak/>
        <w:t>Role Optimization</w:t>
      </w:r>
    </w:p>
    <w:tbl>
      <w:tblPr>
        <w:tblW w:w="9578" w:type="dxa"/>
        <w:tblBorders>
          <w:insideH w:val="single" w:sz="4" w:space="0" w:color="auto"/>
        </w:tblBorders>
        <w:tblLook w:val="04A0" w:firstRow="1" w:lastRow="0" w:firstColumn="1" w:lastColumn="0" w:noHBand="0" w:noVBand="1"/>
      </w:tblPr>
      <w:tblGrid>
        <w:gridCol w:w="463"/>
        <w:gridCol w:w="6031"/>
        <w:gridCol w:w="1781"/>
        <w:gridCol w:w="1303"/>
      </w:tblGrid>
      <w:tr w:rsidR="00B73ED2" w:rsidRPr="00B73ED2" w14:paraId="1E3B5F57" w14:textId="77777777" w:rsidTr="00B73ED2">
        <w:trPr>
          <w:trHeight w:val="307"/>
        </w:trPr>
        <w:tc>
          <w:tcPr>
            <w:tcW w:w="463" w:type="dxa"/>
            <w:vAlign w:val="center"/>
            <w:hideMark/>
          </w:tcPr>
          <w:p w14:paraId="71D8D01B" w14:textId="77777777" w:rsidR="00B73ED2" w:rsidRPr="00B73ED2" w:rsidRDefault="00B73ED2" w:rsidP="00B73ED2">
            <w:pPr>
              <w:spacing w:after="0" w:line="240" w:lineRule="auto"/>
              <w:jc w:val="center"/>
              <w:rPr>
                <w:rFonts w:ascii="Aptos Narrow" w:eastAsia="Times New Roman" w:hAnsi="Aptos Narrow" w:cs="Times New Roman"/>
                <w:b/>
                <w:bCs/>
                <w:color w:val="000000"/>
                <w:kern w:val="0"/>
                <w:sz w:val="22"/>
                <w:szCs w:val="22"/>
                <w:lang w:eastAsia="en-CA"/>
                <w14:ligatures w14:val="none"/>
              </w:rPr>
            </w:pPr>
            <w:r w:rsidRPr="00B73ED2">
              <w:rPr>
                <w:rFonts w:ascii="Aptos Narrow" w:eastAsia="Times New Roman" w:hAnsi="Aptos Narrow" w:cs="Times New Roman"/>
                <w:b/>
                <w:bCs/>
                <w:color w:val="000000"/>
                <w:kern w:val="0"/>
                <w:sz w:val="22"/>
                <w:szCs w:val="22"/>
                <w:lang w:eastAsia="en-CA"/>
                <w14:ligatures w14:val="none"/>
              </w:rPr>
              <w:t>#</w:t>
            </w:r>
          </w:p>
        </w:tc>
        <w:tc>
          <w:tcPr>
            <w:tcW w:w="6031" w:type="dxa"/>
            <w:vAlign w:val="center"/>
            <w:hideMark/>
          </w:tcPr>
          <w:p w14:paraId="25B48097" w14:textId="77777777" w:rsidR="00B73ED2" w:rsidRPr="00B73ED2" w:rsidRDefault="00B73ED2" w:rsidP="00B73ED2">
            <w:pPr>
              <w:spacing w:after="0" w:line="240" w:lineRule="auto"/>
              <w:jc w:val="center"/>
              <w:rPr>
                <w:rFonts w:ascii="Aptos Narrow" w:eastAsia="Times New Roman" w:hAnsi="Aptos Narrow" w:cs="Times New Roman"/>
                <w:b/>
                <w:bCs/>
                <w:color w:val="000000"/>
                <w:kern w:val="0"/>
                <w:sz w:val="22"/>
                <w:szCs w:val="22"/>
                <w:lang w:eastAsia="en-CA"/>
                <w14:ligatures w14:val="none"/>
              </w:rPr>
            </w:pPr>
            <w:r w:rsidRPr="00B73ED2">
              <w:rPr>
                <w:rFonts w:ascii="Aptos Narrow" w:eastAsia="Times New Roman" w:hAnsi="Aptos Narrow" w:cs="Times New Roman"/>
                <w:b/>
                <w:bCs/>
                <w:color w:val="000000"/>
                <w:kern w:val="0"/>
                <w:sz w:val="22"/>
                <w:szCs w:val="22"/>
                <w:lang w:eastAsia="en-CA"/>
                <w14:ligatures w14:val="none"/>
              </w:rPr>
              <w:t>Task</w:t>
            </w:r>
          </w:p>
        </w:tc>
        <w:tc>
          <w:tcPr>
            <w:tcW w:w="1781" w:type="dxa"/>
            <w:vAlign w:val="center"/>
            <w:hideMark/>
          </w:tcPr>
          <w:p w14:paraId="18B5E02C" w14:textId="77777777" w:rsidR="00B73ED2" w:rsidRPr="00B73ED2" w:rsidRDefault="00B73ED2" w:rsidP="00B73ED2">
            <w:pPr>
              <w:spacing w:after="0" w:line="240" w:lineRule="auto"/>
              <w:jc w:val="center"/>
              <w:rPr>
                <w:rFonts w:ascii="Aptos Narrow" w:eastAsia="Times New Roman" w:hAnsi="Aptos Narrow" w:cs="Times New Roman"/>
                <w:b/>
                <w:bCs/>
                <w:color w:val="000000"/>
                <w:kern w:val="0"/>
                <w:sz w:val="22"/>
                <w:szCs w:val="22"/>
                <w:lang w:eastAsia="en-CA"/>
                <w14:ligatures w14:val="none"/>
              </w:rPr>
            </w:pPr>
            <w:r w:rsidRPr="00B73ED2">
              <w:rPr>
                <w:rFonts w:ascii="Aptos Narrow" w:eastAsia="Times New Roman" w:hAnsi="Aptos Narrow" w:cs="Times New Roman"/>
                <w:b/>
                <w:bCs/>
                <w:color w:val="000000"/>
                <w:kern w:val="0"/>
                <w:sz w:val="22"/>
                <w:szCs w:val="22"/>
                <w:lang w:eastAsia="en-CA"/>
                <w14:ligatures w14:val="none"/>
              </w:rPr>
              <w:t>Frequency</w:t>
            </w:r>
          </w:p>
        </w:tc>
        <w:tc>
          <w:tcPr>
            <w:tcW w:w="1303" w:type="dxa"/>
            <w:vAlign w:val="center"/>
            <w:hideMark/>
          </w:tcPr>
          <w:p w14:paraId="1465BE1F" w14:textId="77777777" w:rsidR="00B73ED2" w:rsidRPr="00B73ED2" w:rsidRDefault="00B73ED2" w:rsidP="00B73ED2">
            <w:pPr>
              <w:spacing w:after="0" w:line="240" w:lineRule="auto"/>
              <w:jc w:val="center"/>
              <w:rPr>
                <w:rFonts w:ascii="Aptos Narrow" w:eastAsia="Times New Roman" w:hAnsi="Aptos Narrow" w:cs="Times New Roman"/>
                <w:b/>
                <w:bCs/>
                <w:color w:val="000000"/>
                <w:kern w:val="0"/>
                <w:sz w:val="22"/>
                <w:szCs w:val="22"/>
                <w:lang w:eastAsia="en-CA"/>
                <w14:ligatures w14:val="none"/>
              </w:rPr>
            </w:pPr>
            <w:r w:rsidRPr="00B73ED2">
              <w:rPr>
                <w:rFonts w:ascii="Aptos Narrow" w:eastAsia="Times New Roman" w:hAnsi="Aptos Narrow" w:cs="Times New Roman"/>
                <w:b/>
                <w:bCs/>
                <w:color w:val="000000"/>
                <w:kern w:val="0"/>
                <w:sz w:val="22"/>
                <w:szCs w:val="22"/>
                <w:lang w:eastAsia="en-CA"/>
                <w14:ligatures w14:val="none"/>
              </w:rPr>
              <w:t>Delegable?</w:t>
            </w:r>
          </w:p>
        </w:tc>
      </w:tr>
      <w:tr w:rsidR="00E50828" w:rsidRPr="00B73ED2" w14:paraId="188D8D3B" w14:textId="77777777" w:rsidTr="00B73ED2">
        <w:trPr>
          <w:trHeight w:val="614"/>
        </w:trPr>
        <w:tc>
          <w:tcPr>
            <w:tcW w:w="463" w:type="dxa"/>
            <w:vAlign w:val="center"/>
            <w:hideMark/>
          </w:tcPr>
          <w:p w14:paraId="66C5494C" w14:textId="44F18F5C"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1</w:t>
            </w:r>
          </w:p>
        </w:tc>
        <w:tc>
          <w:tcPr>
            <w:tcW w:w="6031" w:type="dxa"/>
            <w:vAlign w:val="center"/>
            <w:hideMark/>
          </w:tcPr>
          <w:p w14:paraId="3999C765" w14:textId="13182429"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Manage month-end close process and financial statement preparation</w:t>
            </w:r>
          </w:p>
        </w:tc>
        <w:tc>
          <w:tcPr>
            <w:tcW w:w="1781" w:type="dxa"/>
            <w:vAlign w:val="center"/>
            <w:hideMark/>
          </w:tcPr>
          <w:p w14:paraId="5B833EEA" w14:textId="68978C2D"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Monthly</w:t>
            </w:r>
          </w:p>
        </w:tc>
        <w:tc>
          <w:tcPr>
            <w:tcW w:w="1303" w:type="dxa"/>
            <w:vAlign w:val="center"/>
            <w:hideMark/>
          </w:tcPr>
          <w:p w14:paraId="55116CF3" w14:textId="542E6CA7"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E50828" w:rsidRPr="00B73ED2" w14:paraId="32BD5568" w14:textId="77777777" w:rsidTr="00B73ED2">
        <w:trPr>
          <w:trHeight w:val="614"/>
        </w:trPr>
        <w:tc>
          <w:tcPr>
            <w:tcW w:w="463" w:type="dxa"/>
            <w:vAlign w:val="center"/>
            <w:hideMark/>
          </w:tcPr>
          <w:p w14:paraId="096FD9F1" w14:textId="0BCF9C31"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2</w:t>
            </w:r>
          </w:p>
        </w:tc>
        <w:tc>
          <w:tcPr>
            <w:tcW w:w="6031" w:type="dxa"/>
            <w:vAlign w:val="center"/>
            <w:hideMark/>
          </w:tcPr>
          <w:p w14:paraId="2308AD4C" w14:textId="5BFDE727"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Deliver management reports and financial narrative to President &amp; COO</w:t>
            </w:r>
          </w:p>
        </w:tc>
        <w:tc>
          <w:tcPr>
            <w:tcW w:w="1781" w:type="dxa"/>
            <w:vAlign w:val="center"/>
            <w:hideMark/>
          </w:tcPr>
          <w:p w14:paraId="1EECFFAC" w14:textId="3F9ED696"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Monthly</w:t>
            </w:r>
          </w:p>
        </w:tc>
        <w:tc>
          <w:tcPr>
            <w:tcW w:w="1303" w:type="dxa"/>
            <w:vAlign w:val="center"/>
            <w:hideMark/>
          </w:tcPr>
          <w:p w14:paraId="051932C5" w14:textId="173D9700"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No</w:t>
            </w:r>
          </w:p>
        </w:tc>
      </w:tr>
      <w:tr w:rsidR="00E50828" w:rsidRPr="00B73ED2" w14:paraId="0F332938" w14:textId="77777777" w:rsidTr="00B73ED2">
        <w:trPr>
          <w:trHeight w:val="307"/>
        </w:trPr>
        <w:tc>
          <w:tcPr>
            <w:tcW w:w="463" w:type="dxa"/>
            <w:vAlign w:val="center"/>
            <w:hideMark/>
          </w:tcPr>
          <w:p w14:paraId="24824635" w14:textId="3629C1B2"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3</w:t>
            </w:r>
          </w:p>
        </w:tc>
        <w:tc>
          <w:tcPr>
            <w:tcW w:w="6031" w:type="dxa"/>
            <w:vAlign w:val="center"/>
            <w:hideMark/>
          </w:tcPr>
          <w:p w14:paraId="34CC2769" w14:textId="2CF37C93"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Report key financial and operational metrics at leadership L10</w:t>
            </w:r>
          </w:p>
        </w:tc>
        <w:tc>
          <w:tcPr>
            <w:tcW w:w="1781" w:type="dxa"/>
            <w:vAlign w:val="center"/>
            <w:hideMark/>
          </w:tcPr>
          <w:p w14:paraId="1710BDEA" w14:textId="3492C433"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Weekly</w:t>
            </w:r>
          </w:p>
        </w:tc>
        <w:tc>
          <w:tcPr>
            <w:tcW w:w="1303" w:type="dxa"/>
            <w:vAlign w:val="center"/>
            <w:hideMark/>
          </w:tcPr>
          <w:p w14:paraId="78527A85" w14:textId="5705F64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No</w:t>
            </w:r>
          </w:p>
        </w:tc>
      </w:tr>
      <w:tr w:rsidR="00E50828" w:rsidRPr="00B73ED2" w14:paraId="3E5B143B" w14:textId="77777777" w:rsidTr="00B73ED2">
        <w:trPr>
          <w:trHeight w:val="307"/>
        </w:trPr>
        <w:tc>
          <w:tcPr>
            <w:tcW w:w="463" w:type="dxa"/>
            <w:vAlign w:val="center"/>
            <w:hideMark/>
          </w:tcPr>
          <w:p w14:paraId="38C10836" w14:textId="4664CE42"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4</w:t>
            </w:r>
          </w:p>
        </w:tc>
        <w:tc>
          <w:tcPr>
            <w:tcW w:w="6031" w:type="dxa"/>
            <w:vAlign w:val="center"/>
            <w:hideMark/>
          </w:tcPr>
          <w:p w14:paraId="6064C24D" w14:textId="32F56A6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Monitor cash position, AR aging, and DSO trends</w:t>
            </w:r>
          </w:p>
        </w:tc>
        <w:tc>
          <w:tcPr>
            <w:tcW w:w="1781" w:type="dxa"/>
            <w:vAlign w:val="center"/>
            <w:hideMark/>
          </w:tcPr>
          <w:p w14:paraId="147EF724" w14:textId="7D0654CC"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Weekly</w:t>
            </w:r>
          </w:p>
        </w:tc>
        <w:tc>
          <w:tcPr>
            <w:tcW w:w="1303" w:type="dxa"/>
            <w:vAlign w:val="center"/>
            <w:hideMark/>
          </w:tcPr>
          <w:p w14:paraId="65DBDA85" w14:textId="74D0FE95"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E50828" w:rsidRPr="00B73ED2" w14:paraId="017DDF7B" w14:textId="77777777" w:rsidTr="00B73ED2">
        <w:trPr>
          <w:trHeight w:val="307"/>
        </w:trPr>
        <w:tc>
          <w:tcPr>
            <w:tcW w:w="463" w:type="dxa"/>
            <w:vAlign w:val="center"/>
            <w:hideMark/>
          </w:tcPr>
          <w:p w14:paraId="4723F533" w14:textId="374FEB4E"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5</w:t>
            </w:r>
          </w:p>
        </w:tc>
        <w:tc>
          <w:tcPr>
            <w:tcW w:w="6031" w:type="dxa"/>
            <w:vAlign w:val="center"/>
            <w:hideMark/>
          </w:tcPr>
          <w:p w14:paraId="4982703B" w14:textId="5887AE3D"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Update rolling revenue and profit forecast</w:t>
            </w:r>
          </w:p>
        </w:tc>
        <w:tc>
          <w:tcPr>
            <w:tcW w:w="1781" w:type="dxa"/>
            <w:vAlign w:val="center"/>
            <w:hideMark/>
          </w:tcPr>
          <w:p w14:paraId="2C1864F2" w14:textId="355CD9F1"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Weekly / Monthly</w:t>
            </w:r>
          </w:p>
        </w:tc>
        <w:tc>
          <w:tcPr>
            <w:tcW w:w="1303" w:type="dxa"/>
            <w:vAlign w:val="center"/>
            <w:hideMark/>
          </w:tcPr>
          <w:p w14:paraId="3EE565C4" w14:textId="16FBE8E9"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No</w:t>
            </w:r>
          </w:p>
        </w:tc>
      </w:tr>
      <w:tr w:rsidR="00E50828" w:rsidRPr="00B73ED2" w14:paraId="1D0A24A7" w14:textId="77777777" w:rsidTr="00B73ED2">
        <w:trPr>
          <w:trHeight w:val="307"/>
        </w:trPr>
        <w:tc>
          <w:tcPr>
            <w:tcW w:w="463" w:type="dxa"/>
            <w:vAlign w:val="center"/>
            <w:hideMark/>
          </w:tcPr>
          <w:p w14:paraId="54F32BE7" w14:textId="2EB17918"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6</w:t>
            </w:r>
          </w:p>
        </w:tc>
        <w:tc>
          <w:tcPr>
            <w:tcW w:w="6031" w:type="dxa"/>
            <w:vAlign w:val="center"/>
            <w:hideMark/>
          </w:tcPr>
          <w:p w14:paraId="0FE81BEE" w14:textId="553F26F1"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Conduct 1:1s with direct reports across all sub-functions</w:t>
            </w:r>
          </w:p>
        </w:tc>
        <w:tc>
          <w:tcPr>
            <w:tcW w:w="1781" w:type="dxa"/>
            <w:vAlign w:val="center"/>
            <w:hideMark/>
          </w:tcPr>
          <w:p w14:paraId="568444B0" w14:textId="2B265CFD"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Weekly / Bi-weekly</w:t>
            </w:r>
          </w:p>
        </w:tc>
        <w:tc>
          <w:tcPr>
            <w:tcW w:w="1303" w:type="dxa"/>
            <w:vAlign w:val="center"/>
            <w:hideMark/>
          </w:tcPr>
          <w:p w14:paraId="2B4BFBDD" w14:textId="5B157BC0"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No</w:t>
            </w:r>
          </w:p>
        </w:tc>
      </w:tr>
      <w:tr w:rsidR="00E50828" w:rsidRPr="00B73ED2" w14:paraId="170F0DB8" w14:textId="77777777" w:rsidTr="00B73ED2">
        <w:trPr>
          <w:trHeight w:val="307"/>
        </w:trPr>
        <w:tc>
          <w:tcPr>
            <w:tcW w:w="463" w:type="dxa"/>
            <w:vAlign w:val="center"/>
            <w:hideMark/>
          </w:tcPr>
          <w:p w14:paraId="292CEC91" w14:textId="4DBC2F2E"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7</w:t>
            </w:r>
          </w:p>
        </w:tc>
        <w:tc>
          <w:tcPr>
            <w:tcW w:w="6031" w:type="dxa"/>
            <w:vAlign w:val="center"/>
            <w:hideMark/>
          </w:tcPr>
          <w:p w14:paraId="3B7C3E9C" w14:textId="6794244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Oversee payroll, benefits administration, and HR compliance</w:t>
            </w:r>
          </w:p>
        </w:tc>
        <w:tc>
          <w:tcPr>
            <w:tcW w:w="1781" w:type="dxa"/>
            <w:vAlign w:val="center"/>
            <w:hideMark/>
          </w:tcPr>
          <w:p w14:paraId="287AA889" w14:textId="120DD477"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Ongoing</w:t>
            </w:r>
          </w:p>
        </w:tc>
        <w:tc>
          <w:tcPr>
            <w:tcW w:w="1303" w:type="dxa"/>
            <w:vAlign w:val="center"/>
            <w:hideMark/>
          </w:tcPr>
          <w:p w14:paraId="04A05CA6" w14:textId="0A649DB9"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E50828" w:rsidRPr="00B73ED2" w14:paraId="76523DC2" w14:textId="77777777" w:rsidTr="00B73ED2">
        <w:trPr>
          <w:trHeight w:val="614"/>
        </w:trPr>
        <w:tc>
          <w:tcPr>
            <w:tcW w:w="463" w:type="dxa"/>
            <w:vAlign w:val="center"/>
            <w:hideMark/>
          </w:tcPr>
          <w:p w14:paraId="378E1546" w14:textId="0FC8E997"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8</w:t>
            </w:r>
          </w:p>
        </w:tc>
        <w:tc>
          <w:tcPr>
            <w:tcW w:w="6031" w:type="dxa"/>
            <w:vAlign w:val="center"/>
            <w:hideMark/>
          </w:tcPr>
          <w:p w14:paraId="60D2F891" w14:textId="4650365C"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Manage employment actions: onboarding, offboarding, performance documentation</w:t>
            </w:r>
          </w:p>
        </w:tc>
        <w:tc>
          <w:tcPr>
            <w:tcW w:w="1781" w:type="dxa"/>
            <w:vAlign w:val="center"/>
            <w:hideMark/>
          </w:tcPr>
          <w:p w14:paraId="1896C039" w14:textId="1EFC76F2"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Ongoing</w:t>
            </w:r>
          </w:p>
        </w:tc>
        <w:tc>
          <w:tcPr>
            <w:tcW w:w="1303" w:type="dxa"/>
            <w:vAlign w:val="center"/>
            <w:hideMark/>
          </w:tcPr>
          <w:p w14:paraId="6A59139C" w14:textId="0372DD28"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E50828" w:rsidRPr="00B73ED2" w14:paraId="63F00749" w14:textId="77777777" w:rsidTr="00B73ED2">
        <w:trPr>
          <w:trHeight w:val="307"/>
        </w:trPr>
        <w:tc>
          <w:tcPr>
            <w:tcW w:w="463" w:type="dxa"/>
            <w:vAlign w:val="center"/>
            <w:hideMark/>
          </w:tcPr>
          <w:p w14:paraId="4C181F81" w14:textId="1D8DC28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9</w:t>
            </w:r>
          </w:p>
        </w:tc>
        <w:tc>
          <w:tcPr>
            <w:tcW w:w="6031" w:type="dxa"/>
            <w:vAlign w:val="center"/>
            <w:hideMark/>
          </w:tcPr>
          <w:p w14:paraId="547D8495" w14:textId="721CF2CF" w:rsidR="00E50828" w:rsidRPr="00E50828" w:rsidRDefault="0037141A" w:rsidP="00E50828">
            <w:pPr>
              <w:rPr>
                <w:rFonts w:ascii="Aptos Narrow" w:eastAsia="Times New Roman" w:hAnsi="Aptos Narrow" w:cs="Times New Roman"/>
                <w:color w:val="000000"/>
                <w:kern w:val="0"/>
                <w:sz w:val="22"/>
                <w:szCs w:val="22"/>
                <w:lang w:eastAsia="en-CA"/>
                <w14:ligatures w14:val="none"/>
              </w:rPr>
            </w:pPr>
            <w:r w:rsidRPr="0037141A">
              <w:rPr>
                <w:sz w:val="22"/>
                <w:szCs w:val="22"/>
              </w:rPr>
              <w:t>Own all contracts including operational, vendor, and storefront partner agreements; manage renewals calendar, review cycles, and authorization process</w:t>
            </w:r>
          </w:p>
        </w:tc>
        <w:tc>
          <w:tcPr>
            <w:tcW w:w="1781" w:type="dxa"/>
            <w:vAlign w:val="center"/>
            <w:hideMark/>
          </w:tcPr>
          <w:p w14:paraId="6E543778" w14:textId="6415C1FF"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Ongoing</w:t>
            </w:r>
          </w:p>
        </w:tc>
        <w:tc>
          <w:tcPr>
            <w:tcW w:w="1303" w:type="dxa"/>
            <w:vAlign w:val="center"/>
            <w:hideMark/>
          </w:tcPr>
          <w:p w14:paraId="2FE0F3A6" w14:textId="3641201D"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E50828" w:rsidRPr="00B73ED2" w14:paraId="004B9E97" w14:textId="77777777" w:rsidTr="00B73ED2">
        <w:trPr>
          <w:trHeight w:val="614"/>
        </w:trPr>
        <w:tc>
          <w:tcPr>
            <w:tcW w:w="463" w:type="dxa"/>
            <w:vAlign w:val="center"/>
            <w:hideMark/>
          </w:tcPr>
          <w:p w14:paraId="0A546F83" w14:textId="07892C97"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10</w:t>
            </w:r>
          </w:p>
        </w:tc>
        <w:tc>
          <w:tcPr>
            <w:tcW w:w="6031" w:type="dxa"/>
            <w:vAlign w:val="center"/>
            <w:hideMark/>
          </w:tcPr>
          <w:p w14:paraId="6446AEF5" w14:textId="3AEF8F08"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Own IT infrastructure reliability, security governance, and systems access</w:t>
            </w:r>
          </w:p>
        </w:tc>
        <w:tc>
          <w:tcPr>
            <w:tcW w:w="1781" w:type="dxa"/>
            <w:vAlign w:val="center"/>
            <w:hideMark/>
          </w:tcPr>
          <w:p w14:paraId="06B2D9F4" w14:textId="5945CD97"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Ongoing</w:t>
            </w:r>
          </w:p>
        </w:tc>
        <w:tc>
          <w:tcPr>
            <w:tcW w:w="1303" w:type="dxa"/>
            <w:vAlign w:val="center"/>
            <w:hideMark/>
          </w:tcPr>
          <w:p w14:paraId="16601D2A" w14:textId="51DA1C78"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E50828" w:rsidRPr="00B73ED2" w14:paraId="0F63CF87" w14:textId="77777777" w:rsidTr="00B73ED2">
        <w:trPr>
          <w:trHeight w:val="614"/>
        </w:trPr>
        <w:tc>
          <w:tcPr>
            <w:tcW w:w="463" w:type="dxa"/>
            <w:vAlign w:val="center"/>
            <w:hideMark/>
          </w:tcPr>
          <w:p w14:paraId="700FC186" w14:textId="381A0E27"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11</w:t>
            </w:r>
          </w:p>
        </w:tc>
        <w:tc>
          <w:tcPr>
            <w:tcW w:w="6031" w:type="dxa"/>
            <w:vAlign w:val="center"/>
            <w:hideMark/>
          </w:tcPr>
          <w:p w14:paraId="27801424" w14:textId="6FE6DF3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Govern AI tools and internal automation adoption across the enterprise support function</w:t>
            </w:r>
          </w:p>
        </w:tc>
        <w:tc>
          <w:tcPr>
            <w:tcW w:w="1781" w:type="dxa"/>
            <w:vAlign w:val="center"/>
            <w:hideMark/>
          </w:tcPr>
          <w:p w14:paraId="77915E80" w14:textId="57ED8CC8"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Ongoing</w:t>
            </w:r>
          </w:p>
        </w:tc>
        <w:tc>
          <w:tcPr>
            <w:tcW w:w="1303" w:type="dxa"/>
            <w:vAlign w:val="center"/>
            <w:hideMark/>
          </w:tcPr>
          <w:p w14:paraId="1EE341E6" w14:textId="353FD2B6"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E50828" w:rsidRPr="00B73ED2" w14:paraId="2C769F5A" w14:textId="77777777" w:rsidTr="00B73ED2">
        <w:trPr>
          <w:trHeight w:val="307"/>
        </w:trPr>
        <w:tc>
          <w:tcPr>
            <w:tcW w:w="463" w:type="dxa"/>
            <w:vAlign w:val="center"/>
            <w:hideMark/>
          </w:tcPr>
          <w:p w14:paraId="031D1FA6" w14:textId="077959B5"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12</w:t>
            </w:r>
          </w:p>
        </w:tc>
        <w:tc>
          <w:tcPr>
            <w:tcW w:w="6031" w:type="dxa"/>
            <w:vAlign w:val="center"/>
            <w:hideMark/>
          </w:tcPr>
          <w:p w14:paraId="0F53E03A" w14:textId="3DBE7266"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Build and submit annual budget with department input</w:t>
            </w:r>
          </w:p>
        </w:tc>
        <w:tc>
          <w:tcPr>
            <w:tcW w:w="1781" w:type="dxa"/>
            <w:vAlign w:val="center"/>
            <w:hideMark/>
          </w:tcPr>
          <w:p w14:paraId="1FCDB80A" w14:textId="4480FAB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Annually</w:t>
            </w:r>
          </w:p>
        </w:tc>
        <w:tc>
          <w:tcPr>
            <w:tcW w:w="1303" w:type="dxa"/>
            <w:vAlign w:val="center"/>
            <w:hideMark/>
          </w:tcPr>
          <w:p w14:paraId="321A0D22" w14:textId="099EEA91"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E50828" w:rsidRPr="00B73ED2" w14:paraId="4A26E1E4" w14:textId="77777777" w:rsidTr="00B73ED2">
        <w:trPr>
          <w:trHeight w:val="307"/>
        </w:trPr>
        <w:tc>
          <w:tcPr>
            <w:tcW w:w="463" w:type="dxa"/>
            <w:vAlign w:val="center"/>
            <w:hideMark/>
          </w:tcPr>
          <w:p w14:paraId="5DCC1CE8" w14:textId="07AFEE05"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13</w:t>
            </w:r>
          </w:p>
        </w:tc>
        <w:tc>
          <w:tcPr>
            <w:tcW w:w="6031" w:type="dxa"/>
            <w:vAlign w:val="center"/>
            <w:hideMark/>
          </w:tcPr>
          <w:p w14:paraId="7A7DC89E" w14:textId="6A6F04B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Manage year-end reporting with external accountants</w:t>
            </w:r>
          </w:p>
        </w:tc>
        <w:tc>
          <w:tcPr>
            <w:tcW w:w="1781" w:type="dxa"/>
            <w:vAlign w:val="center"/>
            <w:hideMark/>
          </w:tcPr>
          <w:p w14:paraId="46865B85" w14:textId="0CF6BEB6"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Annually</w:t>
            </w:r>
          </w:p>
        </w:tc>
        <w:tc>
          <w:tcPr>
            <w:tcW w:w="1303" w:type="dxa"/>
            <w:vAlign w:val="center"/>
            <w:hideMark/>
          </w:tcPr>
          <w:p w14:paraId="2B71DC8D" w14:textId="0386060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E50828" w:rsidRPr="00B73ED2" w14:paraId="2E5F966D" w14:textId="77777777" w:rsidTr="00B73ED2">
        <w:trPr>
          <w:trHeight w:val="307"/>
        </w:trPr>
        <w:tc>
          <w:tcPr>
            <w:tcW w:w="463" w:type="dxa"/>
            <w:vAlign w:val="center"/>
            <w:hideMark/>
          </w:tcPr>
          <w:p w14:paraId="50B4CB68" w14:textId="3A82CBB5"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14</w:t>
            </w:r>
          </w:p>
        </w:tc>
        <w:tc>
          <w:tcPr>
            <w:tcW w:w="6031" w:type="dxa"/>
            <w:vAlign w:val="center"/>
            <w:hideMark/>
          </w:tcPr>
          <w:p w14:paraId="42EC3DFB" w14:textId="5D40B01D"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Own all tax filings and regulatory compliance deadlines</w:t>
            </w:r>
          </w:p>
        </w:tc>
        <w:tc>
          <w:tcPr>
            <w:tcW w:w="1781" w:type="dxa"/>
            <w:vAlign w:val="center"/>
            <w:hideMark/>
          </w:tcPr>
          <w:p w14:paraId="7C12A0EB" w14:textId="497A77C9"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Ongoing</w:t>
            </w:r>
          </w:p>
        </w:tc>
        <w:tc>
          <w:tcPr>
            <w:tcW w:w="1303" w:type="dxa"/>
            <w:vAlign w:val="center"/>
            <w:hideMark/>
          </w:tcPr>
          <w:p w14:paraId="71B4564C" w14:textId="3F150B2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E50828" w:rsidRPr="00B73ED2" w14:paraId="5C02A028" w14:textId="77777777" w:rsidTr="00B73ED2">
        <w:trPr>
          <w:trHeight w:val="307"/>
        </w:trPr>
        <w:tc>
          <w:tcPr>
            <w:tcW w:w="463" w:type="dxa"/>
            <w:vAlign w:val="center"/>
            <w:hideMark/>
          </w:tcPr>
          <w:p w14:paraId="241A8DF8" w14:textId="0B25476B"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15</w:t>
            </w:r>
          </w:p>
        </w:tc>
        <w:tc>
          <w:tcPr>
            <w:tcW w:w="6031" w:type="dxa"/>
            <w:vAlign w:val="center"/>
            <w:hideMark/>
          </w:tcPr>
          <w:p w14:paraId="29C529AE" w14:textId="75DA81BE"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Prepare board and investor financial reporting package</w:t>
            </w:r>
          </w:p>
        </w:tc>
        <w:tc>
          <w:tcPr>
            <w:tcW w:w="1781" w:type="dxa"/>
            <w:vAlign w:val="center"/>
            <w:hideMark/>
          </w:tcPr>
          <w:p w14:paraId="0BDCAFBC" w14:textId="3B41B14C"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Quarterly</w:t>
            </w:r>
          </w:p>
        </w:tc>
        <w:tc>
          <w:tcPr>
            <w:tcW w:w="1303" w:type="dxa"/>
            <w:vAlign w:val="center"/>
            <w:hideMark/>
          </w:tcPr>
          <w:p w14:paraId="2C4E89A1" w14:textId="22D63CF5"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No</w:t>
            </w:r>
          </w:p>
        </w:tc>
      </w:tr>
      <w:tr w:rsidR="00E50828" w:rsidRPr="00B73ED2" w14:paraId="379A7695" w14:textId="77777777" w:rsidTr="00B73ED2">
        <w:trPr>
          <w:trHeight w:val="614"/>
        </w:trPr>
        <w:tc>
          <w:tcPr>
            <w:tcW w:w="463" w:type="dxa"/>
            <w:vAlign w:val="center"/>
            <w:hideMark/>
          </w:tcPr>
          <w:p w14:paraId="6BC700FC" w14:textId="1DEA94D8"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16</w:t>
            </w:r>
          </w:p>
        </w:tc>
        <w:tc>
          <w:tcPr>
            <w:tcW w:w="6031" w:type="dxa"/>
            <w:vAlign w:val="center"/>
            <w:hideMark/>
          </w:tcPr>
          <w:p w14:paraId="4C7DB750" w14:textId="4670F517"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Support strategic decisions with financial modelling (partnerships, pricing, acquisitions)</w:t>
            </w:r>
          </w:p>
        </w:tc>
        <w:tc>
          <w:tcPr>
            <w:tcW w:w="1781" w:type="dxa"/>
            <w:vAlign w:val="center"/>
            <w:hideMark/>
          </w:tcPr>
          <w:p w14:paraId="0DEE43F8" w14:textId="5ACD9DD8"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As needed</w:t>
            </w:r>
          </w:p>
        </w:tc>
        <w:tc>
          <w:tcPr>
            <w:tcW w:w="1303" w:type="dxa"/>
            <w:vAlign w:val="center"/>
            <w:hideMark/>
          </w:tcPr>
          <w:p w14:paraId="08B234A6" w14:textId="6B604EAE"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No</w:t>
            </w:r>
          </w:p>
        </w:tc>
      </w:tr>
      <w:tr w:rsidR="00E50828" w:rsidRPr="00B73ED2" w14:paraId="72DF8ABB" w14:textId="77777777" w:rsidTr="00B73ED2">
        <w:trPr>
          <w:trHeight w:val="614"/>
        </w:trPr>
        <w:tc>
          <w:tcPr>
            <w:tcW w:w="463" w:type="dxa"/>
            <w:vAlign w:val="center"/>
            <w:hideMark/>
          </w:tcPr>
          <w:p w14:paraId="3BC40766" w14:textId="5DBBAB9E"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17</w:t>
            </w:r>
          </w:p>
        </w:tc>
        <w:tc>
          <w:tcPr>
            <w:tcW w:w="6031" w:type="dxa"/>
            <w:vAlign w:val="center"/>
            <w:hideMark/>
          </w:tcPr>
          <w:p w14:paraId="6A5CA2A7" w14:textId="206D07C5"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Manage banking relationships and operating credit facilities</w:t>
            </w:r>
          </w:p>
        </w:tc>
        <w:tc>
          <w:tcPr>
            <w:tcW w:w="1781" w:type="dxa"/>
            <w:vAlign w:val="center"/>
            <w:hideMark/>
          </w:tcPr>
          <w:p w14:paraId="7ED8CF42" w14:textId="6E861EC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Ongoing</w:t>
            </w:r>
          </w:p>
        </w:tc>
        <w:tc>
          <w:tcPr>
            <w:tcW w:w="1303" w:type="dxa"/>
            <w:vAlign w:val="center"/>
            <w:hideMark/>
          </w:tcPr>
          <w:p w14:paraId="5E941B13" w14:textId="11E65E2E"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No</w:t>
            </w:r>
          </w:p>
        </w:tc>
      </w:tr>
      <w:tr w:rsidR="00E50828" w:rsidRPr="00B73ED2" w14:paraId="5972D9D6" w14:textId="77777777" w:rsidTr="00B73ED2">
        <w:trPr>
          <w:trHeight w:val="614"/>
        </w:trPr>
        <w:tc>
          <w:tcPr>
            <w:tcW w:w="463" w:type="dxa"/>
            <w:vAlign w:val="center"/>
          </w:tcPr>
          <w:p w14:paraId="2686A5FC" w14:textId="4DB7B5B8"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18</w:t>
            </w:r>
          </w:p>
        </w:tc>
        <w:tc>
          <w:tcPr>
            <w:tcW w:w="6031" w:type="dxa"/>
            <w:vAlign w:val="center"/>
          </w:tcPr>
          <w:p w14:paraId="169A761D" w14:textId="1BC337BA"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Research, apply for, and manage non-dilutive funding including government grants, tax credits, and public funding programs</w:t>
            </w:r>
          </w:p>
        </w:tc>
        <w:tc>
          <w:tcPr>
            <w:tcW w:w="1781" w:type="dxa"/>
            <w:vAlign w:val="center"/>
          </w:tcPr>
          <w:p w14:paraId="3EB1E78A" w14:textId="2B3D92EB"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Ongoing</w:t>
            </w:r>
          </w:p>
        </w:tc>
        <w:tc>
          <w:tcPr>
            <w:tcW w:w="1303" w:type="dxa"/>
            <w:vAlign w:val="center"/>
          </w:tcPr>
          <w:p w14:paraId="4A0C6B07" w14:textId="743A0B9F" w:rsidR="00E50828" w:rsidRPr="00E50828" w:rsidRDefault="00E50828" w:rsidP="00E50828">
            <w:pPr>
              <w:rPr>
                <w:rFonts w:ascii="Aptos Narrow" w:eastAsia="Times New Roman" w:hAnsi="Aptos Narrow" w:cs="Times New Roman"/>
                <w:color w:val="000000"/>
                <w:kern w:val="0"/>
                <w:sz w:val="22"/>
                <w:szCs w:val="22"/>
                <w:lang w:eastAsia="en-CA"/>
                <w14:ligatures w14:val="none"/>
              </w:rPr>
            </w:pPr>
            <w:r w:rsidRPr="00E50828">
              <w:rPr>
                <w:sz w:val="22"/>
                <w:szCs w:val="22"/>
              </w:rPr>
              <w:t>Partially</w:t>
            </w:r>
          </w:p>
        </w:tc>
      </w:tr>
      <w:tr w:rsidR="004B179A" w:rsidRPr="00B73ED2" w14:paraId="1B2D0FE9" w14:textId="77777777" w:rsidTr="00B73ED2">
        <w:trPr>
          <w:trHeight w:val="614"/>
        </w:trPr>
        <w:tc>
          <w:tcPr>
            <w:tcW w:w="463" w:type="dxa"/>
            <w:vAlign w:val="center"/>
          </w:tcPr>
          <w:p w14:paraId="3E4C7FF5" w14:textId="70496C08" w:rsidR="004B179A" w:rsidRPr="00E50828" w:rsidRDefault="00944192" w:rsidP="00E50828">
            <w:pPr>
              <w:rPr>
                <w:sz w:val="22"/>
                <w:szCs w:val="22"/>
              </w:rPr>
            </w:pPr>
            <w:r>
              <w:rPr>
                <w:sz w:val="22"/>
                <w:szCs w:val="22"/>
              </w:rPr>
              <w:lastRenderedPageBreak/>
              <w:t>19</w:t>
            </w:r>
          </w:p>
        </w:tc>
        <w:tc>
          <w:tcPr>
            <w:tcW w:w="6031" w:type="dxa"/>
            <w:vAlign w:val="center"/>
          </w:tcPr>
          <w:p w14:paraId="17D59C8B" w14:textId="7EBC0FD8" w:rsidR="004B179A" w:rsidRPr="00E50828" w:rsidRDefault="00944192" w:rsidP="00E50828">
            <w:pPr>
              <w:rPr>
                <w:sz w:val="22"/>
                <w:szCs w:val="22"/>
              </w:rPr>
            </w:pPr>
            <w:r w:rsidRPr="00944192">
              <w:rPr>
                <w:sz w:val="22"/>
                <w:szCs w:val="22"/>
              </w:rPr>
              <w:t>Own and maintain policy library across all enterprise functions; review and update policies as regulatory requirements or business needs change</w:t>
            </w:r>
          </w:p>
        </w:tc>
        <w:tc>
          <w:tcPr>
            <w:tcW w:w="1781" w:type="dxa"/>
            <w:vAlign w:val="center"/>
          </w:tcPr>
          <w:p w14:paraId="78E33F5C" w14:textId="49D9BCA4" w:rsidR="004B179A" w:rsidRPr="00E50828" w:rsidRDefault="00944192" w:rsidP="00E50828">
            <w:pPr>
              <w:rPr>
                <w:sz w:val="22"/>
                <w:szCs w:val="22"/>
              </w:rPr>
            </w:pPr>
            <w:r>
              <w:rPr>
                <w:sz w:val="22"/>
                <w:szCs w:val="22"/>
              </w:rPr>
              <w:t>Ongoing</w:t>
            </w:r>
          </w:p>
        </w:tc>
        <w:tc>
          <w:tcPr>
            <w:tcW w:w="1303" w:type="dxa"/>
            <w:vAlign w:val="center"/>
          </w:tcPr>
          <w:p w14:paraId="41029579" w14:textId="09E515C3" w:rsidR="004B179A" w:rsidRPr="00E50828" w:rsidRDefault="00944192" w:rsidP="00E50828">
            <w:pPr>
              <w:rPr>
                <w:sz w:val="22"/>
                <w:szCs w:val="22"/>
              </w:rPr>
            </w:pPr>
            <w:r>
              <w:rPr>
                <w:sz w:val="22"/>
                <w:szCs w:val="22"/>
              </w:rPr>
              <w:t>Partially</w:t>
            </w:r>
          </w:p>
        </w:tc>
      </w:tr>
      <w:tr w:rsidR="004B179A" w:rsidRPr="00B73ED2" w14:paraId="66552283" w14:textId="77777777" w:rsidTr="00B73ED2">
        <w:trPr>
          <w:trHeight w:val="614"/>
        </w:trPr>
        <w:tc>
          <w:tcPr>
            <w:tcW w:w="463" w:type="dxa"/>
            <w:vAlign w:val="center"/>
          </w:tcPr>
          <w:p w14:paraId="613879F4" w14:textId="44E7780F" w:rsidR="004B179A" w:rsidRPr="00E50828" w:rsidRDefault="00944192" w:rsidP="00E50828">
            <w:pPr>
              <w:rPr>
                <w:sz w:val="22"/>
                <w:szCs w:val="22"/>
              </w:rPr>
            </w:pPr>
            <w:r>
              <w:rPr>
                <w:sz w:val="22"/>
                <w:szCs w:val="22"/>
              </w:rPr>
              <w:t>20</w:t>
            </w:r>
          </w:p>
        </w:tc>
        <w:tc>
          <w:tcPr>
            <w:tcW w:w="6031" w:type="dxa"/>
            <w:vAlign w:val="center"/>
          </w:tcPr>
          <w:p w14:paraId="4EAB7D9A" w14:textId="1F167B69" w:rsidR="004B179A" w:rsidRPr="00E50828" w:rsidRDefault="00167980" w:rsidP="00E50828">
            <w:pPr>
              <w:rPr>
                <w:sz w:val="22"/>
                <w:szCs w:val="22"/>
              </w:rPr>
            </w:pPr>
            <w:r w:rsidRPr="00167980">
              <w:rPr>
                <w:sz w:val="22"/>
                <w:szCs w:val="22"/>
              </w:rPr>
              <w:t>Manage events program including logistics, budgeting, vendor coordination, and cross-functional planning with Demand and Revenue</w:t>
            </w:r>
          </w:p>
        </w:tc>
        <w:tc>
          <w:tcPr>
            <w:tcW w:w="1781" w:type="dxa"/>
            <w:vAlign w:val="center"/>
          </w:tcPr>
          <w:p w14:paraId="23FE4F5E" w14:textId="7E1C9BEB" w:rsidR="004B179A" w:rsidRPr="00E50828" w:rsidRDefault="00167980" w:rsidP="00E50828">
            <w:pPr>
              <w:rPr>
                <w:sz w:val="22"/>
                <w:szCs w:val="22"/>
              </w:rPr>
            </w:pPr>
            <w:r>
              <w:rPr>
                <w:sz w:val="22"/>
                <w:szCs w:val="22"/>
              </w:rPr>
              <w:t>Ongoing</w:t>
            </w:r>
          </w:p>
        </w:tc>
        <w:tc>
          <w:tcPr>
            <w:tcW w:w="1303" w:type="dxa"/>
            <w:vAlign w:val="center"/>
          </w:tcPr>
          <w:p w14:paraId="6E379B7E" w14:textId="3A1F1F00" w:rsidR="004B179A" w:rsidRPr="00E50828" w:rsidRDefault="00167980" w:rsidP="00E50828">
            <w:pPr>
              <w:rPr>
                <w:sz w:val="22"/>
                <w:szCs w:val="22"/>
              </w:rPr>
            </w:pPr>
            <w:r>
              <w:rPr>
                <w:sz w:val="22"/>
                <w:szCs w:val="22"/>
              </w:rPr>
              <w:t>Partially</w:t>
            </w:r>
          </w:p>
        </w:tc>
      </w:tr>
      <w:tr w:rsidR="00944192" w:rsidRPr="00B73ED2" w14:paraId="5722AB52" w14:textId="77777777" w:rsidTr="00B73ED2">
        <w:trPr>
          <w:trHeight w:val="614"/>
        </w:trPr>
        <w:tc>
          <w:tcPr>
            <w:tcW w:w="463" w:type="dxa"/>
            <w:vAlign w:val="center"/>
          </w:tcPr>
          <w:p w14:paraId="685A23AE" w14:textId="31E17E17" w:rsidR="00944192" w:rsidRPr="00E50828" w:rsidRDefault="00944192" w:rsidP="00E50828">
            <w:pPr>
              <w:rPr>
                <w:sz w:val="22"/>
                <w:szCs w:val="22"/>
              </w:rPr>
            </w:pPr>
            <w:r>
              <w:rPr>
                <w:sz w:val="22"/>
                <w:szCs w:val="22"/>
              </w:rPr>
              <w:t>21</w:t>
            </w:r>
          </w:p>
        </w:tc>
        <w:tc>
          <w:tcPr>
            <w:tcW w:w="6031" w:type="dxa"/>
            <w:vAlign w:val="center"/>
          </w:tcPr>
          <w:p w14:paraId="6517AB3E" w14:textId="2C9B32AA" w:rsidR="00944192" w:rsidRPr="00E50828" w:rsidRDefault="00167980" w:rsidP="00E50828">
            <w:pPr>
              <w:rPr>
                <w:sz w:val="22"/>
                <w:szCs w:val="22"/>
              </w:rPr>
            </w:pPr>
            <w:r w:rsidRPr="00167980">
              <w:rPr>
                <w:sz w:val="22"/>
                <w:szCs w:val="22"/>
              </w:rPr>
              <w:t>Produce and distribute market intelligence reports for leadership and revenue functions</w:t>
            </w:r>
          </w:p>
        </w:tc>
        <w:tc>
          <w:tcPr>
            <w:tcW w:w="1781" w:type="dxa"/>
            <w:vAlign w:val="center"/>
          </w:tcPr>
          <w:p w14:paraId="58114BFA" w14:textId="17AD2F06" w:rsidR="00944192" w:rsidRPr="00E50828" w:rsidRDefault="00EA0573" w:rsidP="00E50828">
            <w:pPr>
              <w:rPr>
                <w:sz w:val="22"/>
                <w:szCs w:val="22"/>
              </w:rPr>
            </w:pPr>
            <w:r>
              <w:rPr>
                <w:sz w:val="22"/>
                <w:szCs w:val="22"/>
              </w:rPr>
              <w:t>Quarterly</w:t>
            </w:r>
          </w:p>
        </w:tc>
        <w:tc>
          <w:tcPr>
            <w:tcW w:w="1303" w:type="dxa"/>
            <w:vAlign w:val="center"/>
          </w:tcPr>
          <w:p w14:paraId="2A9CA996" w14:textId="100A5563" w:rsidR="00944192" w:rsidRPr="00E50828" w:rsidRDefault="00EA0573" w:rsidP="00E50828">
            <w:pPr>
              <w:rPr>
                <w:sz w:val="22"/>
                <w:szCs w:val="22"/>
              </w:rPr>
            </w:pPr>
            <w:r>
              <w:rPr>
                <w:sz w:val="22"/>
                <w:szCs w:val="22"/>
              </w:rPr>
              <w:t>Partially</w:t>
            </w:r>
          </w:p>
        </w:tc>
      </w:tr>
    </w:tbl>
    <w:p w14:paraId="7380E69A" w14:textId="46E203C3" w:rsidR="00E754D5" w:rsidRPr="00F74371" w:rsidRDefault="00F74371" w:rsidP="00F74371">
      <w:pPr>
        <w:spacing w:before="120" w:after="120" w:line="276" w:lineRule="auto"/>
        <w:rPr>
          <w:sz w:val="22"/>
          <w:szCs w:val="22"/>
        </w:rPr>
      </w:pPr>
      <w:r w:rsidRPr="00F74371">
        <w:rPr>
          <w:i/>
          <w:iCs/>
          <w:sz w:val="22"/>
          <w:szCs w:val="22"/>
        </w:rPr>
        <w:t xml:space="preserve">We Know Training Inc. EOS Role Scorecard: </w:t>
      </w:r>
      <w:r w:rsidR="00AF2E3B">
        <w:rPr>
          <w:i/>
          <w:iCs/>
          <w:sz w:val="22"/>
          <w:szCs w:val="22"/>
        </w:rPr>
        <w:t xml:space="preserve">Head of Finance &amp; </w:t>
      </w:r>
      <w:r w:rsidR="00E50828">
        <w:rPr>
          <w:i/>
          <w:iCs/>
          <w:sz w:val="22"/>
          <w:szCs w:val="22"/>
        </w:rPr>
        <w:t>Administration</w:t>
      </w:r>
      <w:r w:rsidRPr="00F74371">
        <w:rPr>
          <w:i/>
          <w:iCs/>
          <w:sz w:val="22"/>
          <w:szCs w:val="22"/>
        </w:rPr>
        <w:t xml:space="preserve"> </w:t>
      </w:r>
    </w:p>
    <w:sectPr w:rsidR="00E754D5" w:rsidRPr="00F74371" w:rsidSect="00A353EC">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03DAB"/>
    <w:multiLevelType w:val="hybridMultilevel"/>
    <w:tmpl w:val="0E0056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0165A3A"/>
    <w:multiLevelType w:val="hybridMultilevel"/>
    <w:tmpl w:val="338287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B680CF8"/>
    <w:multiLevelType w:val="multilevel"/>
    <w:tmpl w:val="6C50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506508">
    <w:abstractNumId w:val="2"/>
  </w:num>
  <w:num w:numId="2" w16cid:durableId="2012098170">
    <w:abstractNumId w:val="1"/>
  </w:num>
  <w:num w:numId="3" w16cid:durableId="80682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71"/>
    <w:rsid w:val="0001565F"/>
    <w:rsid w:val="00055CCB"/>
    <w:rsid w:val="00142E31"/>
    <w:rsid w:val="00167980"/>
    <w:rsid w:val="001E11BD"/>
    <w:rsid w:val="00241473"/>
    <w:rsid w:val="0026132B"/>
    <w:rsid w:val="003116F4"/>
    <w:rsid w:val="0037141A"/>
    <w:rsid w:val="00375FC3"/>
    <w:rsid w:val="0039302D"/>
    <w:rsid w:val="003A5909"/>
    <w:rsid w:val="003E7922"/>
    <w:rsid w:val="004811AC"/>
    <w:rsid w:val="004B179A"/>
    <w:rsid w:val="004B2418"/>
    <w:rsid w:val="00503A4D"/>
    <w:rsid w:val="00515DB7"/>
    <w:rsid w:val="005364D5"/>
    <w:rsid w:val="00537027"/>
    <w:rsid w:val="005958B4"/>
    <w:rsid w:val="005C0016"/>
    <w:rsid w:val="007820A7"/>
    <w:rsid w:val="007A51E4"/>
    <w:rsid w:val="007C56D3"/>
    <w:rsid w:val="007D64D5"/>
    <w:rsid w:val="007F5D46"/>
    <w:rsid w:val="00801458"/>
    <w:rsid w:val="0081684A"/>
    <w:rsid w:val="008335FA"/>
    <w:rsid w:val="00836E89"/>
    <w:rsid w:val="008702F0"/>
    <w:rsid w:val="008B48CF"/>
    <w:rsid w:val="0090757E"/>
    <w:rsid w:val="00944192"/>
    <w:rsid w:val="009B50B0"/>
    <w:rsid w:val="009B6441"/>
    <w:rsid w:val="00A268B5"/>
    <w:rsid w:val="00A353EC"/>
    <w:rsid w:val="00A46D68"/>
    <w:rsid w:val="00A856D7"/>
    <w:rsid w:val="00AE5FF8"/>
    <w:rsid w:val="00AF2E3B"/>
    <w:rsid w:val="00B72DFB"/>
    <w:rsid w:val="00B73ED2"/>
    <w:rsid w:val="00B8125A"/>
    <w:rsid w:val="00BB7C85"/>
    <w:rsid w:val="00BD4076"/>
    <w:rsid w:val="00C154DA"/>
    <w:rsid w:val="00CE1E24"/>
    <w:rsid w:val="00D009D4"/>
    <w:rsid w:val="00D34C51"/>
    <w:rsid w:val="00D534DE"/>
    <w:rsid w:val="00D713FD"/>
    <w:rsid w:val="00DB412D"/>
    <w:rsid w:val="00DB45D6"/>
    <w:rsid w:val="00DF2A05"/>
    <w:rsid w:val="00E50828"/>
    <w:rsid w:val="00E754D5"/>
    <w:rsid w:val="00E91A3D"/>
    <w:rsid w:val="00EA0573"/>
    <w:rsid w:val="00EB0C7F"/>
    <w:rsid w:val="00F74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DDE6"/>
  <w15:chartTrackingRefBased/>
  <w15:docId w15:val="{CE2AD939-999E-4E8D-AD64-689F6F77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4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4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4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4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371"/>
    <w:rPr>
      <w:rFonts w:eastAsiaTheme="majorEastAsia" w:cstheme="majorBidi"/>
      <w:color w:val="272727" w:themeColor="text1" w:themeTint="D8"/>
    </w:rPr>
  </w:style>
  <w:style w:type="paragraph" w:styleId="Title">
    <w:name w:val="Title"/>
    <w:basedOn w:val="Normal"/>
    <w:next w:val="Normal"/>
    <w:link w:val="TitleChar"/>
    <w:uiPriority w:val="10"/>
    <w:qFormat/>
    <w:rsid w:val="00F74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371"/>
    <w:pPr>
      <w:spacing w:before="160"/>
      <w:jc w:val="center"/>
    </w:pPr>
    <w:rPr>
      <w:i/>
      <w:iCs/>
      <w:color w:val="404040" w:themeColor="text1" w:themeTint="BF"/>
    </w:rPr>
  </w:style>
  <w:style w:type="character" w:customStyle="1" w:styleId="QuoteChar">
    <w:name w:val="Quote Char"/>
    <w:basedOn w:val="DefaultParagraphFont"/>
    <w:link w:val="Quote"/>
    <w:uiPriority w:val="29"/>
    <w:rsid w:val="00F74371"/>
    <w:rPr>
      <w:i/>
      <w:iCs/>
      <w:color w:val="404040" w:themeColor="text1" w:themeTint="BF"/>
    </w:rPr>
  </w:style>
  <w:style w:type="paragraph" w:styleId="ListParagraph">
    <w:name w:val="List Paragraph"/>
    <w:basedOn w:val="Normal"/>
    <w:uiPriority w:val="34"/>
    <w:qFormat/>
    <w:rsid w:val="00F74371"/>
    <w:pPr>
      <w:ind w:left="720"/>
      <w:contextualSpacing/>
    </w:pPr>
  </w:style>
  <w:style w:type="character" w:styleId="IntenseEmphasis">
    <w:name w:val="Intense Emphasis"/>
    <w:basedOn w:val="DefaultParagraphFont"/>
    <w:uiPriority w:val="21"/>
    <w:qFormat/>
    <w:rsid w:val="00F74371"/>
    <w:rPr>
      <w:i/>
      <w:iCs/>
      <w:color w:val="0F4761" w:themeColor="accent1" w:themeShade="BF"/>
    </w:rPr>
  </w:style>
  <w:style w:type="paragraph" w:styleId="IntenseQuote">
    <w:name w:val="Intense Quote"/>
    <w:basedOn w:val="Normal"/>
    <w:next w:val="Normal"/>
    <w:link w:val="IntenseQuoteChar"/>
    <w:uiPriority w:val="30"/>
    <w:qFormat/>
    <w:rsid w:val="00F74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371"/>
    <w:rPr>
      <w:i/>
      <w:iCs/>
      <w:color w:val="0F4761" w:themeColor="accent1" w:themeShade="BF"/>
    </w:rPr>
  </w:style>
  <w:style w:type="character" w:styleId="IntenseReference">
    <w:name w:val="Intense Reference"/>
    <w:basedOn w:val="DefaultParagraphFont"/>
    <w:uiPriority w:val="32"/>
    <w:qFormat/>
    <w:rsid w:val="00F743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2220</Words>
  <Characters>12656</Characters>
  <Application>Microsoft Office Word</Application>
  <DocSecurity>0</DocSecurity>
  <Lines>105</Lines>
  <Paragraphs>29</Paragraphs>
  <ScaleCrop>false</ScaleCrop>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Aziz</dc:creator>
  <cp:keywords/>
  <dc:description/>
  <cp:lastModifiedBy>Sofia-LEC</cp:lastModifiedBy>
  <cp:revision>57</cp:revision>
  <dcterms:created xsi:type="dcterms:W3CDTF">2026-03-24T03:05:00Z</dcterms:created>
  <dcterms:modified xsi:type="dcterms:W3CDTF">2026-04-05T02:49:00Z</dcterms:modified>
</cp:coreProperties>
</file>