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A195" w14:textId="1C06CFC4" w:rsidR="00C9551B" w:rsidRPr="00B457FE" w:rsidRDefault="00C9551B" w:rsidP="00C9551B">
      <w:pPr>
        <w:pStyle w:val="Heading1"/>
        <w:rPr>
          <w:b/>
          <w:bCs/>
        </w:rPr>
      </w:pPr>
      <w:r w:rsidRPr="00B457FE">
        <w:rPr>
          <w:b/>
          <w:bCs/>
        </w:rPr>
        <w:t xml:space="preserve">WKT EOS Role Scorecard </w:t>
      </w:r>
      <w:r w:rsidR="00687952" w:rsidRPr="00B457FE">
        <w:rPr>
          <w:b/>
          <w:bCs/>
        </w:rPr>
        <w:t>for</w:t>
      </w:r>
      <w:r w:rsidRPr="00B457FE">
        <w:rPr>
          <w:b/>
          <w:bCs/>
        </w:rPr>
        <w:t xml:space="preserve"> </w:t>
      </w:r>
      <w:r w:rsidR="00B457FE" w:rsidRPr="00B457FE">
        <w:rPr>
          <w:b/>
          <w:bCs/>
        </w:rPr>
        <w:t>Head of</w:t>
      </w:r>
      <w:r w:rsidRPr="00B457FE">
        <w:rPr>
          <w:b/>
          <w:bCs/>
        </w:rPr>
        <w:t xml:space="preserve"> Revenue</w:t>
      </w:r>
    </w:p>
    <w:p w14:paraId="73F4F7D0" w14:textId="77777777" w:rsidR="00C9551B" w:rsidRDefault="00C9551B" w:rsidP="00C9551B">
      <w:pPr>
        <w:spacing w:before="120" w:after="120" w:line="276" w:lineRule="auto"/>
        <w:rPr>
          <w:sz w:val="22"/>
          <w:szCs w:val="22"/>
        </w:rPr>
      </w:pPr>
      <w:r w:rsidRPr="00C9551B">
        <w:rPr>
          <w:b/>
          <w:bCs/>
          <w:sz w:val="22"/>
          <w:szCs w:val="22"/>
        </w:rPr>
        <w:t>Date Updated:</w:t>
      </w:r>
      <w:r w:rsidRPr="00C9551B">
        <w:rPr>
          <w:sz w:val="22"/>
          <w:szCs w:val="22"/>
        </w:rPr>
        <w:t xml:space="preserve"> March 2026 </w:t>
      </w:r>
    </w:p>
    <w:p w14:paraId="3EDEF4D2" w14:textId="2155F478" w:rsidR="00C9551B" w:rsidRDefault="00C9551B" w:rsidP="00C9551B">
      <w:pPr>
        <w:spacing w:before="120" w:after="120" w:line="276" w:lineRule="auto"/>
        <w:rPr>
          <w:sz w:val="22"/>
          <w:szCs w:val="22"/>
        </w:rPr>
      </w:pPr>
      <w:r w:rsidRPr="00C9551B">
        <w:rPr>
          <w:b/>
          <w:bCs/>
          <w:sz w:val="22"/>
          <w:szCs w:val="22"/>
        </w:rPr>
        <w:t>Functional Role:</w:t>
      </w:r>
      <w:r w:rsidRPr="00C9551B">
        <w:rPr>
          <w:sz w:val="22"/>
          <w:szCs w:val="22"/>
        </w:rPr>
        <w:t xml:space="preserve"> </w:t>
      </w:r>
      <w:r w:rsidR="00E420D2">
        <w:rPr>
          <w:sz w:val="22"/>
          <w:szCs w:val="22"/>
        </w:rPr>
        <w:t>Head of</w:t>
      </w:r>
      <w:r w:rsidRPr="00C9551B">
        <w:rPr>
          <w:sz w:val="22"/>
          <w:szCs w:val="22"/>
        </w:rPr>
        <w:t xml:space="preserve"> Revenue </w:t>
      </w:r>
    </w:p>
    <w:p w14:paraId="0F2A9CF4" w14:textId="77777777" w:rsidR="00C9551B" w:rsidRDefault="00C9551B" w:rsidP="00C9551B">
      <w:pPr>
        <w:spacing w:before="120" w:after="120" w:line="276" w:lineRule="auto"/>
        <w:rPr>
          <w:sz w:val="22"/>
          <w:szCs w:val="22"/>
        </w:rPr>
      </w:pPr>
      <w:r w:rsidRPr="00C9551B">
        <w:rPr>
          <w:b/>
          <w:bCs/>
          <w:sz w:val="22"/>
          <w:szCs w:val="22"/>
        </w:rPr>
        <w:t>Level:</w:t>
      </w:r>
      <w:r w:rsidRPr="00C9551B">
        <w:rPr>
          <w:sz w:val="22"/>
          <w:szCs w:val="22"/>
        </w:rPr>
        <w:t xml:space="preserve"> Vice President / Department Lead </w:t>
      </w:r>
    </w:p>
    <w:p w14:paraId="0BB2B777" w14:textId="77777777" w:rsidR="00C9551B" w:rsidRDefault="00C9551B" w:rsidP="00C9551B">
      <w:pPr>
        <w:spacing w:before="120" w:after="120" w:line="276" w:lineRule="auto"/>
        <w:rPr>
          <w:sz w:val="22"/>
          <w:szCs w:val="22"/>
        </w:rPr>
      </w:pPr>
      <w:r w:rsidRPr="00C9551B">
        <w:rPr>
          <w:b/>
          <w:bCs/>
          <w:sz w:val="22"/>
          <w:szCs w:val="22"/>
        </w:rPr>
        <w:t>Reports To:</w:t>
      </w:r>
      <w:r w:rsidRPr="00C9551B">
        <w:rPr>
          <w:sz w:val="22"/>
          <w:szCs w:val="22"/>
        </w:rPr>
        <w:t xml:space="preserve"> President &amp; COO </w:t>
      </w:r>
    </w:p>
    <w:p w14:paraId="3EC8EAC5" w14:textId="77777777" w:rsidR="00C9551B" w:rsidRDefault="00C9551B" w:rsidP="00787968">
      <w:pPr>
        <w:pStyle w:val="Heading2"/>
      </w:pPr>
      <w:r w:rsidRPr="00C9551B">
        <w:t xml:space="preserve">Direct Reports: </w:t>
      </w:r>
    </w:p>
    <w:p w14:paraId="5C19A8A0" w14:textId="4F7A57A6" w:rsidR="00E420D2" w:rsidRPr="00D04797" w:rsidRDefault="005F2368" w:rsidP="00D04797">
      <w:pPr>
        <w:pStyle w:val="ListParagraph"/>
        <w:numPr>
          <w:ilvl w:val="0"/>
          <w:numId w:val="3"/>
        </w:numPr>
        <w:spacing w:before="120" w:after="120" w:line="276" w:lineRule="auto"/>
        <w:rPr>
          <w:sz w:val="22"/>
          <w:szCs w:val="22"/>
        </w:rPr>
      </w:pPr>
      <w:r>
        <w:rPr>
          <w:sz w:val="22"/>
          <w:szCs w:val="22"/>
        </w:rPr>
        <w:t xml:space="preserve">New </w:t>
      </w:r>
      <w:r w:rsidR="00E420D2" w:rsidRPr="00D04797">
        <w:rPr>
          <w:sz w:val="22"/>
          <w:szCs w:val="22"/>
        </w:rPr>
        <w:t xml:space="preserve">B2B Content Sales </w:t>
      </w:r>
    </w:p>
    <w:p w14:paraId="108FB91D" w14:textId="77777777" w:rsidR="007533C1" w:rsidRPr="00D04797" w:rsidRDefault="00E420D2" w:rsidP="00D04797">
      <w:pPr>
        <w:pStyle w:val="ListParagraph"/>
        <w:numPr>
          <w:ilvl w:val="0"/>
          <w:numId w:val="3"/>
        </w:numPr>
        <w:spacing w:before="120" w:after="120" w:line="276" w:lineRule="auto"/>
        <w:rPr>
          <w:sz w:val="22"/>
          <w:szCs w:val="22"/>
        </w:rPr>
      </w:pPr>
      <w:r w:rsidRPr="00D04797">
        <w:rPr>
          <w:sz w:val="22"/>
          <w:szCs w:val="22"/>
        </w:rPr>
        <w:t xml:space="preserve">Channel &amp; Reseller Development </w:t>
      </w:r>
    </w:p>
    <w:p w14:paraId="7B54D4E5" w14:textId="77777777" w:rsidR="007533C1" w:rsidRPr="00D04797" w:rsidRDefault="00E420D2" w:rsidP="00D04797">
      <w:pPr>
        <w:pStyle w:val="ListParagraph"/>
        <w:numPr>
          <w:ilvl w:val="0"/>
          <w:numId w:val="3"/>
        </w:numPr>
        <w:spacing w:before="120" w:after="120" w:line="276" w:lineRule="auto"/>
        <w:rPr>
          <w:sz w:val="22"/>
          <w:szCs w:val="22"/>
        </w:rPr>
      </w:pPr>
      <w:r w:rsidRPr="00D04797">
        <w:rPr>
          <w:sz w:val="22"/>
          <w:szCs w:val="22"/>
        </w:rPr>
        <w:t xml:space="preserve">Inside Sales </w:t>
      </w:r>
    </w:p>
    <w:p w14:paraId="6A6F5C42" w14:textId="77777777" w:rsidR="007533C1" w:rsidRPr="00D04797" w:rsidRDefault="00E420D2" w:rsidP="00D04797">
      <w:pPr>
        <w:pStyle w:val="ListParagraph"/>
        <w:numPr>
          <w:ilvl w:val="0"/>
          <w:numId w:val="3"/>
        </w:numPr>
        <w:spacing w:before="120" w:after="120" w:line="276" w:lineRule="auto"/>
        <w:rPr>
          <w:sz w:val="22"/>
          <w:szCs w:val="22"/>
        </w:rPr>
      </w:pPr>
      <w:r w:rsidRPr="00D04797">
        <w:rPr>
          <w:sz w:val="22"/>
          <w:szCs w:val="22"/>
        </w:rPr>
        <w:t xml:space="preserve">Partner Activation </w:t>
      </w:r>
    </w:p>
    <w:p w14:paraId="7781BA02" w14:textId="77777777" w:rsidR="007533C1" w:rsidRPr="00D04797" w:rsidRDefault="00E420D2" w:rsidP="00D04797">
      <w:pPr>
        <w:pStyle w:val="ListParagraph"/>
        <w:numPr>
          <w:ilvl w:val="0"/>
          <w:numId w:val="3"/>
        </w:numPr>
        <w:spacing w:before="120" w:after="120" w:line="276" w:lineRule="auto"/>
        <w:rPr>
          <w:sz w:val="22"/>
          <w:szCs w:val="22"/>
        </w:rPr>
      </w:pPr>
      <w:r w:rsidRPr="00D04797">
        <w:rPr>
          <w:sz w:val="22"/>
          <w:szCs w:val="22"/>
        </w:rPr>
        <w:t xml:space="preserve">Institutional Sales </w:t>
      </w:r>
    </w:p>
    <w:p w14:paraId="240EB91F" w14:textId="77777777" w:rsidR="00D04797" w:rsidRPr="00D04797" w:rsidRDefault="00E420D2" w:rsidP="00D04797">
      <w:pPr>
        <w:pStyle w:val="ListParagraph"/>
        <w:numPr>
          <w:ilvl w:val="0"/>
          <w:numId w:val="3"/>
        </w:numPr>
        <w:spacing w:before="120" w:after="120" w:line="276" w:lineRule="auto"/>
        <w:rPr>
          <w:sz w:val="22"/>
          <w:szCs w:val="22"/>
        </w:rPr>
      </w:pPr>
      <w:r w:rsidRPr="00D04797">
        <w:rPr>
          <w:sz w:val="22"/>
          <w:szCs w:val="22"/>
        </w:rPr>
        <w:t xml:space="preserve">Government &amp; Public Affairs </w:t>
      </w:r>
    </w:p>
    <w:p w14:paraId="7F7E186F" w14:textId="3C6905C2" w:rsidR="006013B2" w:rsidRPr="00D04797" w:rsidRDefault="00E420D2" w:rsidP="00D04797">
      <w:pPr>
        <w:pStyle w:val="ListParagraph"/>
        <w:numPr>
          <w:ilvl w:val="0"/>
          <w:numId w:val="3"/>
        </w:numPr>
        <w:spacing w:before="120" w:after="120" w:line="276" w:lineRule="auto"/>
        <w:rPr>
          <w:b/>
          <w:bCs/>
          <w:sz w:val="22"/>
          <w:szCs w:val="22"/>
        </w:rPr>
      </w:pPr>
      <w:r w:rsidRPr="00D04797">
        <w:rPr>
          <w:sz w:val="22"/>
          <w:szCs w:val="22"/>
        </w:rPr>
        <w:t>Industry &amp; Market Development</w:t>
      </w:r>
    </w:p>
    <w:p w14:paraId="7D3574E4" w14:textId="77777777" w:rsidR="00D04797" w:rsidRPr="00D04797" w:rsidRDefault="00D04797" w:rsidP="00D04797">
      <w:pPr>
        <w:pStyle w:val="ListParagraph"/>
        <w:spacing w:before="120" w:after="120" w:line="276" w:lineRule="auto"/>
        <w:rPr>
          <w:b/>
          <w:bCs/>
          <w:sz w:val="22"/>
          <w:szCs w:val="22"/>
        </w:rPr>
      </w:pPr>
    </w:p>
    <w:p w14:paraId="15846ABB" w14:textId="77777777" w:rsidR="00C9551B" w:rsidRPr="00C9551B" w:rsidRDefault="00C9551B" w:rsidP="00787968">
      <w:pPr>
        <w:pStyle w:val="Heading2"/>
      </w:pPr>
      <w:r w:rsidRPr="00C9551B">
        <w:t>Purpose of the Role</w:t>
      </w:r>
    </w:p>
    <w:p w14:paraId="4293F170" w14:textId="43C110A4" w:rsidR="00C9551B" w:rsidRPr="00C9551B" w:rsidRDefault="00871510" w:rsidP="00C9551B">
      <w:pPr>
        <w:spacing w:before="120" w:after="120" w:line="276" w:lineRule="auto"/>
        <w:rPr>
          <w:sz w:val="22"/>
          <w:szCs w:val="22"/>
        </w:rPr>
      </w:pPr>
      <w:r w:rsidRPr="00871510">
        <w:rPr>
          <w:sz w:val="22"/>
          <w:szCs w:val="22"/>
        </w:rPr>
        <w:t xml:space="preserve">The Head of Revenue owns WKT's full revenue result across all sales motions: </w:t>
      </w:r>
      <w:r w:rsidR="005F2368">
        <w:rPr>
          <w:sz w:val="22"/>
          <w:szCs w:val="22"/>
        </w:rPr>
        <w:t xml:space="preserve">New </w:t>
      </w:r>
      <w:r w:rsidRPr="00871510">
        <w:rPr>
          <w:sz w:val="22"/>
          <w:szCs w:val="22"/>
        </w:rPr>
        <w:t>B2B Content Sales, Channel &amp; Reseller Development, Institutional Sales, and Government &amp; Public Affairs. This seat is accountable for pipeline creation, conversion, and forecast discipline; for ensuring all motions are governed by one leader with full visibility; and for building the sales system including process, standards, CRM discipline, and team capability that makes results predictable and the revenue engine scalable. The Head of Revenue works in close coordination with the Head of Demand, whose function creates the pipeline this seat converts, and with the Head of Delivery, whose function retains and expands the customers this seat closes.</w:t>
      </w:r>
    </w:p>
    <w:p w14:paraId="40A21DB2" w14:textId="77777777" w:rsidR="00C9551B" w:rsidRPr="00C9551B" w:rsidRDefault="00C9551B" w:rsidP="00787968">
      <w:pPr>
        <w:pStyle w:val="Heading2"/>
      </w:pPr>
      <w:r w:rsidRPr="00C9551B">
        <w:t>Key Accountabilities</w:t>
      </w:r>
    </w:p>
    <w:p w14:paraId="6FA43DCE" w14:textId="4FF9887A" w:rsidR="00E508CB" w:rsidRPr="00E508CB" w:rsidRDefault="00E508CB" w:rsidP="00E508CB">
      <w:pPr>
        <w:pStyle w:val="ListParagraph"/>
        <w:numPr>
          <w:ilvl w:val="0"/>
          <w:numId w:val="6"/>
        </w:numPr>
        <w:spacing w:before="120" w:after="120" w:line="276" w:lineRule="auto"/>
        <w:rPr>
          <w:sz w:val="22"/>
          <w:szCs w:val="22"/>
        </w:rPr>
      </w:pPr>
      <w:r w:rsidRPr="00E508CB">
        <w:rPr>
          <w:sz w:val="22"/>
          <w:szCs w:val="22"/>
        </w:rPr>
        <w:t xml:space="preserve">Own total revenue results and the annual revenue plan by segment, channel, and motion </w:t>
      </w:r>
    </w:p>
    <w:p w14:paraId="51A11044" w14:textId="77777777" w:rsidR="00A11D8D" w:rsidRDefault="002E43D4" w:rsidP="00E508CB">
      <w:pPr>
        <w:pStyle w:val="ListParagraph"/>
        <w:numPr>
          <w:ilvl w:val="0"/>
          <w:numId w:val="6"/>
        </w:numPr>
        <w:spacing w:before="120" w:after="120" w:line="276" w:lineRule="auto"/>
        <w:rPr>
          <w:sz w:val="22"/>
          <w:szCs w:val="22"/>
        </w:rPr>
      </w:pPr>
      <w:r w:rsidRPr="002E43D4">
        <w:rPr>
          <w:sz w:val="22"/>
          <w:szCs w:val="22"/>
        </w:rPr>
        <w:t>Own pipeline creation, new opportunity identification, lead conversion, and forecast discipline across all revenue streams: New B2B Content Sales, Channel &amp; Reseller Development, Institutional Sales, and Government &amp; Public Affairs</w:t>
      </w:r>
    </w:p>
    <w:p w14:paraId="5058801D" w14:textId="7E84FFA9" w:rsidR="00A11D8D" w:rsidRDefault="00A11D8D" w:rsidP="00E508CB">
      <w:pPr>
        <w:pStyle w:val="ListParagraph"/>
        <w:numPr>
          <w:ilvl w:val="0"/>
          <w:numId w:val="6"/>
        </w:numPr>
        <w:spacing w:before="120" w:after="120" w:line="276" w:lineRule="auto"/>
        <w:rPr>
          <w:sz w:val="22"/>
          <w:szCs w:val="22"/>
        </w:rPr>
      </w:pPr>
      <w:r w:rsidRPr="00A11D8D">
        <w:rPr>
          <w:sz w:val="22"/>
          <w:szCs w:val="22"/>
        </w:rPr>
        <w:t>Own proactive client success management from close through to Delivery handoff: ensure new clients are engaged, expectations are set, and early relationship signals are tracked and addressed before the transition to the Delivery function</w:t>
      </w:r>
    </w:p>
    <w:p w14:paraId="78CD566F" w14:textId="77777777" w:rsidR="00A11D8D" w:rsidRDefault="00A11D8D" w:rsidP="00E508CB">
      <w:pPr>
        <w:pStyle w:val="ListParagraph"/>
        <w:numPr>
          <w:ilvl w:val="0"/>
          <w:numId w:val="6"/>
        </w:numPr>
        <w:spacing w:before="120" w:after="120" w:line="276" w:lineRule="auto"/>
        <w:rPr>
          <w:sz w:val="22"/>
          <w:szCs w:val="22"/>
        </w:rPr>
      </w:pPr>
      <w:r w:rsidRPr="00A11D8D">
        <w:rPr>
          <w:sz w:val="22"/>
          <w:szCs w:val="22"/>
        </w:rPr>
        <w:t>Own channel and partner growth outcomes including partner acquisition, activation, and ongoing performance (Storefront Partners, Resellers); manage direct-vs-channel conflict with clarity and authority</w:t>
      </w:r>
    </w:p>
    <w:p w14:paraId="47062A40" w14:textId="4C8DD912" w:rsidR="00E508CB" w:rsidRPr="00E508CB" w:rsidRDefault="00E508CB" w:rsidP="00E508CB">
      <w:pPr>
        <w:pStyle w:val="ListParagraph"/>
        <w:numPr>
          <w:ilvl w:val="0"/>
          <w:numId w:val="6"/>
        </w:numPr>
        <w:spacing w:before="120" w:after="120" w:line="276" w:lineRule="auto"/>
        <w:rPr>
          <w:sz w:val="22"/>
          <w:szCs w:val="22"/>
        </w:rPr>
      </w:pPr>
      <w:r w:rsidRPr="00E508CB">
        <w:rPr>
          <w:sz w:val="22"/>
          <w:szCs w:val="22"/>
        </w:rPr>
        <w:t xml:space="preserve">Set and enforce sales process standards, CRM discipline, and coaching expectations across the revenue team </w:t>
      </w:r>
    </w:p>
    <w:p w14:paraId="0EAAFD2F" w14:textId="77777777" w:rsidR="0024235C" w:rsidRDefault="0024235C" w:rsidP="00E508CB">
      <w:pPr>
        <w:pStyle w:val="ListParagraph"/>
        <w:numPr>
          <w:ilvl w:val="0"/>
          <w:numId w:val="6"/>
        </w:numPr>
        <w:spacing w:before="120" w:after="120" w:line="276" w:lineRule="auto"/>
        <w:rPr>
          <w:sz w:val="22"/>
          <w:szCs w:val="22"/>
        </w:rPr>
      </w:pPr>
      <w:r w:rsidRPr="0024235C">
        <w:rPr>
          <w:sz w:val="22"/>
          <w:szCs w:val="22"/>
        </w:rPr>
        <w:t xml:space="preserve">Own the Government &amp; Public Affairs and Industry &amp; Market Development relationships that support institutional sales and market credibility; lead the development of RFPs, proposals, </w:t>
      </w:r>
      <w:r w:rsidRPr="0024235C">
        <w:rPr>
          <w:sz w:val="22"/>
          <w:szCs w:val="22"/>
        </w:rPr>
        <w:lastRenderedPageBreak/>
        <w:t>and formal bid responses for institutional and government opportunities [and [RIA] -- pending confirmation of scope]</w:t>
      </w:r>
    </w:p>
    <w:p w14:paraId="64E2CA0B" w14:textId="3337A419" w:rsidR="006C44DE" w:rsidRDefault="006C44DE" w:rsidP="00E508CB">
      <w:pPr>
        <w:pStyle w:val="ListParagraph"/>
        <w:numPr>
          <w:ilvl w:val="0"/>
          <w:numId w:val="6"/>
        </w:numPr>
        <w:spacing w:before="120" w:after="120" w:line="276" w:lineRule="auto"/>
        <w:rPr>
          <w:sz w:val="22"/>
          <w:szCs w:val="22"/>
        </w:rPr>
      </w:pPr>
      <w:r w:rsidRPr="006C44DE">
        <w:rPr>
          <w:sz w:val="22"/>
          <w:szCs w:val="22"/>
        </w:rPr>
        <w:t>Own revenue-facing platform and technology requirements including storefront configuration, client portal standards, and the digital infrastructure that supports the sales experience; coordinate with the Head of Platform &amp; Technology on development priorities and implementation</w:t>
      </w:r>
    </w:p>
    <w:p w14:paraId="6D4C513C" w14:textId="49C6A633" w:rsidR="00E508CB" w:rsidRPr="00E508CB" w:rsidRDefault="00E508CB" w:rsidP="00E508CB">
      <w:pPr>
        <w:pStyle w:val="ListParagraph"/>
        <w:numPr>
          <w:ilvl w:val="0"/>
          <w:numId w:val="6"/>
        </w:numPr>
        <w:spacing w:before="120" w:after="120" w:line="276" w:lineRule="auto"/>
        <w:rPr>
          <w:sz w:val="22"/>
          <w:szCs w:val="22"/>
        </w:rPr>
      </w:pPr>
      <w:r w:rsidRPr="00E508CB">
        <w:rPr>
          <w:sz w:val="22"/>
          <w:szCs w:val="22"/>
        </w:rPr>
        <w:t xml:space="preserve">Coordinate with Head of Demand on lead quality, pipeline handoff standards, and revenue system alignment </w:t>
      </w:r>
    </w:p>
    <w:p w14:paraId="5D34B3A4" w14:textId="77777777" w:rsidR="00E508CB" w:rsidRPr="00DC6A89" w:rsidRDefault="00E508CB" w:rsidP="00E508CB">
      <w:pPr>
        <w:pStyle w:val="ListParagraph"/>
        <w:numPr>
          <w:ilvl w:val="0"/>
          <w:numId w:val="6"/>
        </w:numPr>
        <w:spacing w:before="120" w:after="120" w:line="276" w:lineRule="auto"/>
      </w:pPr>
      <w:r w:rsidRPr="00E508CB">
        <w:rPr>
          <w:sz w:val="22"/>
          <w:szCs w:val="22"/>
        </w:rPr>
        <w:t>Coordinate with Head of Delivery on customer handoff standards, expansion opportunity identification, and renewal pipeline visibility</w:t>
      </w:r>
    </w:p>
    <w:p w14:paraId="47FA1D94" w14:textId="77777777" w:rsidR="00DC6A89" w:rsidRPr="00E508CB" w:rsidRDefault="00DC6A89" w:rsidP="00DC6A89">
      <w:pPr>
        <w:pStyle w:val="ListParagraph"/>
        <w:spacing w:before="120" w:after="120" w:line="276" w:lineRule="auto"/>
      </w:pPr>
    </w:p>
    <w:p w14:paraId="24B5EC72" w14:textId="496FB30C" w:rsidR="00C9551B" w:rsidRPr="00C9551B" w:rsidRDefault="00C9551B" w:rsidP="00E508CB">
      <w:pPr>
        <w:pStyle w:val="Heading2"/>
      </w:pPr>
      <w:r w:rsidRPr="00C9551B">
        <w:t xml:space="preserve">Core Values </w:t>
      </w:r>
      <w:r w:rsidR="00EE1078">
        <w:t>-</w:t>
      </w:r>
      <w:r w:rsidRPr="00C9551B">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5"/>
        <w:gridCol w:w="7625"/>
      </w:tblGrid>
      <w:tr w:rsidR="00C9551B" w:rsidRPr="00C9551B" w14:paraId="3D5B2D6E" w14:textId="77777777" w:rsidTr="00EE1078">
        <w:trPr>
          <w:tblHeader/>
          <w:tblCellSpacing w:w="15" w:type="dxa"/>
        </w:trPr>
        <w:tc>
          <w:tcPr>
            <w:tcW w:w="0" w:type="auto"/>
            <w:vAlign w:val="center"/>
            <w:hideMark/>
          </w:tcPr>
          <w:p w14:paraId="723C9871" w14:textId="77777777" w:rsidR="00C9551B" w:rsidRPr="00C9551B" w:rsidRDefault="00C9551B" w:rsidP="00C9551B">
            <w:pPr>
              <w:spacing w:before="120" w:after="120" w:line="276" w:lineRule="auto"/>
              <w:rPr>
                <w:b/>
                <w:bCs/>
                <w:sz w:val="22"/>
                <w:szCs w:val="22"/>
              </w:rPr>
            </w:pPr>
            <w:r w:rsidRPr="00C9551B">
              <w:rPr>
                <w:b/>
                <w:bCs/>
                <w:sz w:val="22"/>
                <w:szCs w:val="22"/>
              </w:rPr>
              <w:t>Core Value</w:t>
            </w:r>
          </w:p>
        </w:tc>
        <w:tc>
          <w:tcPr>
            <w:tcW w:w="0" w:type="auto"/>
            <w:vAlign w:val="center"/>
            <w:hideMark/>
          </w:tcPr>
          <w:p w14:paraId="19B12EC0" w14:textId="77777777" w:rsidR="00C9551B" w:rsidRPr="00C9551B" w:rsidRDefault="00C9551B" w:rsidP="00C9551B">
            <w:pPr>
              <w:spacing w:before="120" w:after="120" w:line="276" w:lineRule="auto"/>
              <w:rPr>
                <w:b/>
                <w:bCs/>
                <w:sz w:val="22"/>
                <w:szCs w:val="22"/>
              </w:rPr>
            </w:pPr>
            <w:r w:rsidRPr="00C9551B">
              <w:rPr>
                <w:b/>
                <w:bCs/>
                <w:sz w:val="22"/>
                <w:szCs w:val="22"/>
              </w:rPr>
              <w:t>What This Looks Like in This Seat</w:t>
            </w:r>
          </w:p>
        </w:tc>
      </w:tr>
      <w:tr w:rsidR="00C9551B" w:rsidRPr="00C9551B" w14:paraId="1B80F2F2" w14:textId="77777777" w:rsidTr="00EE1078">
        <w:trPr>
          <w:tblCellSpacing w:w="15" w:type="dxa"/>
        </w:trPr>
        <w:tc>
          <w:tcPr>
            <w:tcW w:w="0" w:type="auto"/>
            <w:vAlign w:val="center"/>
            <w:hideMark/>
          </w:tcPr>
          <w:p w14:paraId="6DEA98D8" w14:textId="77777777" w:rsidR="00C9551B" w:rsidRPr="00C9551B" w:rsidRDefault="00C9551B" w:rsidP="00C9551B">
            <w:pPr>
              <w:spacing w:before="120" w:after="120" w:line="276" w:lineRule="auto"/>
              <w:rPr>
                <w:sz w:val="22"/>
                <w:szCs w:val="22"/>
              </w:rPr>
            </w:pPr>
            <w:r w:rsidRPr="00C9551B">
              <w:rPr>
                <w:b/>
                <w:bCs/>
                <w:sz w:val="22"/>
                <w:szCs w:val="22"/>
              </w:rPr>
              <w:t>We are Accountable</w:t>
            </w:r>
          </w:p>
        </w:tc>
        <w:tc>
          <w:tcPr>
            <w:tcW w:w="0" w:type="auto"/>
            <w:vAlign w:val="center"/>
            <w:hideMark/>
          </w:tcPr>
          <w:p w14:paraId="5BF68609" w14:textId="5C33D00C" w:rsidR="00C9551B" w:rsidRPr="00C9551B" w:rsidRDefault="007D77B4" w:rsidP="00C9551B">
            <w:pPr>
              <w:spacing w:before="120" w:after="120" w:line="276" w:lineRule="auto"/>
              <w:rPr>
                <w:sz w:val="22"/>
                <w:szCs w:val="22"/>
              </w:rPr>
            </w:pPr>
            <w:r w:rsidRPr="007D77B4">
              <w:rPr>
                <w:sz w:val="22"/>
                <w:szCs w:val="22"/>
              </w:rPr>
              <w:t>Owns the revenue number, not the activity, not the effort. When results are off plan, names the root cause clearly, brings a revised path forward, and does not hide behind pipeline volume or team busyness. Holds the team to the same standard: CRM hygiene, forecast accuracy, and deal-stage discipline are non-negotiable expectations, not aspirations.</w:t>
            </w:r>
          </w:p>
        </w:tc>
      </w:tr>
      <w:tr w:rsidR="00C9551B" w:rsidRPr="00C9551B" w14:paraId="7A961167" w14:textId="77777777" w:rsidTr="00EE1078">
        <w:trPr>
          <w:tblCellSpacing w:w="15" w:type="dxa"/>
        </w:trPr>
        <w:tc>
          <w:tcPr>
            <w:tcW w:w="0" w:type="auto"/>
            <w:vAlign w:val="center"/>
            <w:hideMark/>
          </w:tcPr>
          <w:p w14:paraId="3CF4E211" w14:textId="77777777" w:rsidR="00C9551B" w:rsidRPr="00C9551B" w:rsidRDefault="00C9551B" w:rsidP="00C9551B">
            <w:pPr>
              <w:spacing w:before="120" w:after="120" w:line="276" w:lineRule="auto"/>
              <w:rPr>
                <w:sz w:val="22"/>
                <w:szCs w:val="22"/>
              </w:rPr>
            </w:pPr>
            <w:r w:rsidRPr="00C9551B">
              <w:rPr>
                <w:b/>
                <w:bCs/>
                <w:sz w:val="22"/>
                <w:szCs w:val="22"/>
              </w:rPr>
              <w:t>We are Curious</w:t>
            </w:r>
          </w:p>
        </w:tc>
        <w:tc>
          <w:tcPr>
            <w:tcW w:w="0" w:type="auto"/>
            <w:vAlign w:val="center"/>
            <w:hideMark/>
          </w:tcPr>
          <w:p w14:paraId="199169D7" w14:textId="3170909D" w:rsidR="00C9551B" w:rsidRPr="00C9551B" w:rsidRDefault="007D77B4" w:rsidP="00C9551B">
            <w:pPr>
              <w:spacing w:before="120" w:after="120" w:line="276" w:lineRule="auto"/>
              <w:rPr>
                <w:sz w:val="22"/>
                <w:szCs w:val="22"/>
              </w:rPr>
            </w:pPr>
            <w:r w:rsidRPr="007D77B4">
              <w:rPr>
                <w:sz w:val="22"/>
                <w:szCs w:val="22"/>
              </w:rPr>
              <w:t>Asks the right questions about why deals stall, why conversion drops, or why a channel underperforms before assuming it is a people problem. Brings market intelligence and customer insight into strategy conversations rather than relying solely on internal data. Stays curious about what is working in other sales motions and applies those learnings deliberately.</w:t>
            </w:r>
          </w:p>
        </w:tc>
      </w:tr>
      <w:tr w:rsidR="00C9551B" w:rsidRPr="00C9551B" w14:paraId="4329489D" w14:textId="77777777" w:rsidTr="00EE1078">
        <w:trPr>
          <w:tblCellSpacing w:w="15" w:type="dxa"/>
        </w:trPr>
        <w:tc>
          <w:tcPr>
            <w:tcW w:w="0" w:type="auto"/>
            <w:vAlign w:val="center"/>
            <w:hideMark/>
          </w:tcPr>
          <w:p w14:paraId="6A269460" w14:textId="77777777" w:rsidR="00C9551B" w:rsidRPr="00C9551B" w:rsidRDefault="00C9551B" w:rsidP="00C9551B">
            <w:pPr>
              <w:spacing w:before="120" w:after="120" w:line="276" w:lineRule="auto"/>
              <w:rPr>
                <w:sz w:val="22"/>
                <w:szCs w:val="22"/>
              </w:rPr>
            </w:pPr>
            <w:r w:rsidRPr="00C9551B">
              <w:rPr>
                <w:b/>
                <w:bCs/>
                <w:sz w:val="22"/>
                <w:szCs w:val="22"/>
              </w:rPr>
              <w:t>We are Driven</w:t>
            </w:r>
          </w:p>
        </w:tc>
        <w:tc>
          <w:tcPr>
            <w:tcW w:w="0" w:type="auto"/>
            <w:vAlign w:val="center"/>
            <w:hideMark/>
          </w:tcPr>
          <w:p w14:paraId="65171FBB" w14:textId="540AB5A1" w:rsidR="00C9551B" w:rsidRPr="00C9551B" w:rsidRDefault="007D77B4" w:rsidP="00C9551B">
            <w:pPr>
              <w:spacing w:before="120" w:after="120" w:line="276" w:lineRule="auto"/>
              <w:rPr>
                <w:sz w:val="22"/>
                <w:szCs w:val="22"/>
              </w:rPr>
            </w:pPr>
            <w:r w:rsidRPr="007D77B4">
              <w:rPr>
                <w:sz w:val="22"/>
                <w:szCs w:val="22"/>
              </w:rPr>
              <w:t>Maintains relentless focus on the revenue target through the full quarter, not just at close. Does the coaching work, the pipeline reviews, and the forecast conversations consistently, even when the quarter looks healthy. Champions the Demand-Revenue working relationship as an ongoing operating discipline, not a one-time initiative.</w:t>
            </w:r>
          </w:p>
        </w:tc>
      </w:tr>
      <w:tr w:rsidR="00C9551B" w:rsidRPr="00C9551B" w14:paraId="3BE1CFDD" w14:textId="77777777" w:rsidTr="00EE1078">
        <w:trPr>
          <w:tblCellSpacing w:w="15" w:type="dxa"/>
        </w:trPr>
        <w:tc>
          <w:tcPr>
            <w:tcW w:w="0" w:type="auto"/>
            <w:vAlign w:val="center"/>
            <w:hideMark/>
          </w:tcPr>
          <w:p w14:paraId="21D3764B" w14:textId="77777777" w:rsidR="00C9551B" w:rsidRPr="00C9551B" w:rsidRDefault="00C9551B" w:rsidP="00C9551B">
            <w:pPr>
              <w:spacing w:before="120" w:after="120" w:line="276" w:lineRule="auto"/>
              <w:rPr>
                <w:sz w:val="22"/>
                <w:szCs w:val="22"/>
              </w:rPr>
            </w:pPr>
            <w:r w:rsidRPr="00C9551B">
              <w:rPr>
                <w:b/>
                <w:bCs/>
                <w:sz w:val="22"/>
                <w:szCs w:val="22"/>
              </w:rPr>
              <w:t>We are Nimble</w:t>
            </w:r>
          </w:p>
        </w:tc>
        <w:tc>
          <w:tcPr>
            <w:tcW w:w="0" w:type="auto"/>
            <w:vAlign w:val="center"/>
            <w:hideMark/>
          </w:tcPr>
          <w:p w14:paraId="486DEB1F" w14:textId="16082BCA" w:rsidR="00C9551B" w:rsidRPr="00C9551B" w:rsidRDefault="007D77B4" w:rsidP="00C9551B">
            <w:pPr>
              <w:spacing w:before="120" w:after="120" w:line="276" w:lineRule="auto"/>
              <w:rPr>
                <w:sz w:val="22"/>
                <w:szCs w:val="22"/>
              </w:rPr>
            </w:pPr>
            <w:r w:rsidRPr="007D77B4">
              <w:rPr>
                <w:sz w:val="22"/>
                <w:szCs w:val="22"/>
              </w:rPr>
              <w:t>Adjusts sales strategy and resource focus quickly when a channel or motion underperforms without abandoning process discipline in the pivot. Capable of governing structurally different sales motions (B2B Content Sales, Channel &amp; Reseller Development, Institutional Sales, Government &amp; Public Affairs) simultaneously and shifting emphasis based on what the pipeline and market are telling them.</w:t>
            </w:r>
          </w:p>
        </w:tc>
      </w:tr>
      <w:tr w:rsidR="00C9551B" w:rsidRPr="00C9551B" w14:paraId="4BE55B95" w14:textId="77777777" w:rsidTr="00EE1078">
        <w:trPr>
          <w:tblCellSpacing w:w="15" w:type="dxa"/>
        </w:trPr>
        <w:tc>
          <w:tcPr>
            <w:tcW w:w="0" w:type="auto"/>
            <w:vAlign w:val="center"/>
            <w:hideMark/>
          </w:tcPr>
          <w:p w14:paraId="60F035B0" w14:textId="77777777" w:rsidR="00C9551B" w:rsidRPr="00C9551B" w:rsidRDefault="00C9551B" w:rsidP="00C9551B">
            <w:pPr>
              <w:spacing w:before="120" w:after="120" w:line="276" w:lineRule="auto"/>
              <w:rPr>
                <w:sz w:val="22"/>
                <w:szCs w:val="22"/>
              </w:rPr>
            </w:pPr>
            <w:r w:rsidRPr="00C9551B">
              <w:rPr>
                <w:b/>
                <w:bCs/>
                <w:sz w:val="22"/>
                <w:szCs w:val="22"/>
              </w:rPr>
              <w:t>We are Relationship-focused</w:t>
            </w:r>
          </w:p>
        </w:tc>
        <w:tc>
          <w:tcPr>
            <w:tcW w:w="0" w:type="auto"/>
            <w:vAlign w:val="center"/>
            <w:hideMark/>
          </w:tcPr>
          <w:p w14:paraId="7A488A0F" w14:textId="63381882" w:rsidR="00C9551B" w:rsidRPr="00C9551B" w:rsidRDefault="005F7CE3" w:rsidP="00C9551B">
            <w:pPr>
              <w:spacing w:before="120" w:after="120" w:line="276" w:lineRule="auto"/>
              <w:rPr>
                <w:sz w:val="22"/>
                <w:szCs w:val="22"/>
              </w:rPr>
            </w:pPr>
            <w:r w:rsidRPr="005F7CE3">
              <w:rPr>
                <w:sz w:val="22"/>
                <w:szCs w:val="22"/>
              </w:rPr>
              <w:t>Builds deep trust with key partners, institutional buyers, and high-value accounts where relationships are a competitive differentiator. Invests in the development of the revenue team as individuals, not just as quota carriers. Maintains a productive, honest working relationship with the Head of Demand as a peer function, not a subordinate one.</w:t>
            </w:r>
          </w:p>
        </w:tc>
      </w:tr>
    </w:tbl>
    <w:p w14:paraId="38F73FF7" w14:textId="756629A8" w:rsidR="00C9551B" w:rsidRPr="00C9551B" w:rsidRDefault="00C9551B" w:rsidP="00C9551B">
      <w:pPr>
        <w:spacing w:before="120" w:after="120" w:line="276" w:lineRule="auto"/>
        <w:rPr>
          <w:sz w:val="22"/>
          <w:szCs w:val="22"/>
        </w:rPr>
      </w:pPr>
    </w:p>
    <w:p w14:paraId="005DC299" w14:textId="5020BBF2" w:rsidR="00C9551B" w:rsidRPr="00C9551B" w:rsidRDefault="00C9551B" w:rsidP="00F8711E">
      <w:pPr>
        <w:pStyle w:val="Heading2"/>
      </w:pPr>
      <w:r w:rsidRPr="00C9551B">
        <w:t xml:space="preserve">GWC </w:t>
      </w:r>
      <w:r w:rsidR="00EE1078">
        <w:t>-</w:t>
      </w:r>
      <w:r w:rsidRPr="00C9551B">
        <w:t xml:space="preserve"> Seat-Specific Descriptors</w:t>
      </w:r>
    </w:p>
    <w:p w14:paraId="046562BB" w14:textId="77777777" w:rsidR="00F8711E" w:rsidRDefault="00C9551B" w:rsidP="00F8711E">
      <w:pPr>
        <w:pStyle w:val="Heading3"/>
      </w:pPr>
      <w:r w:rsidRPr="00C9551B">
        <w:t xml:space="preserve">Gets It </w:t>
      </w:r>
    </w:p>
    <w:p w14:paraId="27FF0F39" w14:textId="74ACF409" w:rsidR="00C9551B" w:rsidRPr="00C9551B" w:rsidRDefault="00C9551B" w:rsidP="00C9551B">
      <w:pPr>
        <w:spacing w:before="120" w:after="120" w:line="276" w:lineRule="auto"/>
        <w:rPr>
          <w:sz w:val="22"/>
          <w:szCs w:val="22"/>
        </w:rPr>
      </w:pPr>
      <w:r w:rsidRPr="00C9551B">
        <w:rPr>
          <w:sz w:val="22"/>
          <w:szCs w:val="22"/>
        </w:rPr>
        <w:t>The</w:t>
      </w:r>
      <w:r w:rsidR="005F7CE3" w:rsidRPr="005F7CE3">
        <w:rPr>
          <w:sz w:val="22"/>
          <w:szCs w:val="22"/>
        </w:rPr>
        <w:t xml:space="preserve"> Head of Revenue understands that WKT's revenue model runs structurally different sales motions: B2B Content Sales, Channel &amp; Reseller Development, Institutional Sales, and Government &amp; Public Affairs, each requiring different approaches, timelines, and success metrics, all governed by one leader with full visibility. They get that forecast integrity is a management tool, not a reporting exercise, and that CRM discipline is the foundation of every commercial decision the company makes. They understand that the RevOps Enablement gap is not a future problem; it is a current constraint that affects the quality of every revenue decision being made right now, and that filling or compensating for that gap is part of their accountability until it is resolved. They also understand WKT's regulated-market context: trust, content accuracy, and credibility are part of the value proposition, and revenue strategy must protect those qualities rather than trade them for short-term volume. </w:t>
      </w:r>
      <w:r w:rsidR="005F7CE3" w:rsidRPr="005F7CE3">
        <w:rPr>
          <w:i/>
          <w:iCs/>
          <w:sz w:val="22"/>
          <w:szCs w:val="22"/>
        </w:rPr>
        <w:t>(For full GWC behavioural indicators and warning signs, see the GWC Descriptors document.)</w:t>
      </w:r>
    </w:p>
    <w:p w14:paraId="1A0CF578" w14:textId="77777777" w:rsidR="00F8711E" w:rsidRDefault="00C9551B" w:rsidP="006608A4">
      <w:pPr>
        <w:pStyle w:val="Heading3"/>
      </w:pPr>
      <w:r w:rsidRPr="00C9551B">
        <w:t xml:space="preserve">Wants It </w:t>
      </w:r>
    </w:p>
    <w:p w14:paraId="7EF7B48D" w14:textId="1CF59D8E" w:rsidR="00C9551B" w:rsidRPr="00C9551B" w:rsidRDefault="00C9551B" w:rsidP="00C9551B">
      <w:pPr>
        <w:spacing w:before="120" w:after="120" w:line="276" w:lineRule="auto"/>
        <w:rPr>
          <w:sz w:val="22"/>
          <w:szCs w:val="22"/>
        </w:rPr>
      </w:pPr>
      <w:r w:rsidRPr="00C9551B">
        <w:rPr>
          <w:sz w:val="22"/>
          <w:szCs w:val="22"/>
        </w:rPr>
        <w:t xml:space="preserve">This </w:t>
      </w:r>
      <w:r w:rsidR="001078C4" w:rsidRPr="001078C4">
        <w:rPr>
          <w:sz w:val="22"/>
          <w:szCs w:val="22"/>
        </w:rPr>
        <w:t>seat demands genuine appetite for the full weight of revenue accountability in a complex, multi-motion business. The person who truly wants this role is energized by building the system including the forecasting discipline, the team coaching cadence, and the pipeline governance, not just by closing deals or celebrating wins. They must want to have the hard conversation with a rep whose CRM hygiene is creating forecast noise, the strategic conversation with the Head of Demand about lead quality, and the channel conflict conversation with a partner whose performance has stalled. The less visible, less rewarding parts of this seat consist of weekly pipeline reviews, forecast variance analysis, and rep development. These must be things this person actively chooses, not tolerates.</w:t>
      </w:r>
    </w:p>
    <w:p w14:paraId="62879373" w14:textId="77777777" w:rsidR="006608A4" w:rsidRDefault="00C9551B" w:rsidP="006608A4">
      <w:pPr>
        <w:pStyle w:val="Heading3"/>
      </w:pPr>
      <w:r w:rsidRPr="00C9551B">
        <w:t xml:space="preserve">Capacity to Do It </w:t>
      </w:r>
    </w:p>
    <w:p w14:paraId="6252D7EA" w14:textId="31AF36D3" w:rsidR="003C6C77" w:rsidRPr="003C6C77" w:rsidRDefault="00200B11" w:rsidP="003C6C77">
      <w:pPr>
        <w:spacing w:before="120" w:after="120" w:line="276" w:lineRule="auto"/>
        <w:rPr>
          <w:sz w:val="22"/>
          <w:szCs w:val="22"/>
        </w:rPr>
      </w:pPr>
      <w:r w:rsidRPr="00200B11">
        <w:rPr>
          <w:sz w:val="22"/>
          <w:szCs w:val="22"/>
        </w:rPr>
        <w:t>The</w:t>
      </w:r>
      <w:r w:rsidR="003C6C77" w:rsidRPr="003C6C77">
        <w:rPr>
          <w:sz w:val="22"/>
          <w:szCs w:val="22"/>
        </w:rPr>
        <w:t xml:space="preserve"> Head of Revenue must be able to hold the full revenue picture across structurally different sales motions simultaneously while also absorbing RevOps Enablement responsibilities in the absence of a dedicated seat. This requires strong analytical capacity (reading pipeline data, diagnosing forecast variance, evaluating channel performance) alongside the interpersonal range to coach frontline reps, build institutional relationships, and coordinate effectively with the Head of Demand and Head of Delivery. WKT's $15.2M revenue target for 2026 and the Q1 Rock to reset sales and marketing alignment both signal that this is an active-build seat, not a steady-state management role. Capacity here includes the ability to lead through a structural reset without losing team confidence or pipeline momentum.</w:t>
      </w:r>
    </w:p>
    <w:p w14:paraId="65B7E219" w14:textId="1F32045A" w:rsidR="00C9551B" w:rsidRDefault="00C9551B" w:rsidP="00C9551B">
      <w:pPr>
        <w:spacing w:before="120" w:after="120" w:line="276" w:lineRule="auto"/>
        <w:rPr>
          <w:sz w:val="22"/>
          <w:szCs w:val="22"/>
        </w:rPr>
      </w:pPr>
    </w:p>
    <w:p w14:paraId="11C45174" w14:textId="77777777" w:rsidR="00200B11" w:rsidRPr="00C9551B" w:rsidRDefault="00200B11" w:rsidP="00C9551B">
      <w:pPr>
        <w:spacing w:before="120" w:after="120" w:line="276" w:lineRule="auto"/>
        <w:rPr>
          <w:sz w:val="22"/>
          <w:szCs w:val="22"/>
        </w:rPr>
      </w:pPr>
    </w:p>
    <w:p w14:paraId="5A69CD98" w14:textId="77777777" w:rsidR="00C9551B" w:rsidRPr="00C9551B" w:rsidRDefault="00C9551B" w:rsidP="00790ED6">
      <w:pPr>
        <w:pStyle w:val="Heading2"/>
      </w:pPr>
      <w:r w:rsidRPr="00C9551B">
        <w:lastRenderedPageBreak/>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774"/>
        <w:gridCol w:w="1204"/>
        <w:gridCol w:w="1277"/>
        <w:gridCol w:w="1105"/>
      </w:tblGrid>
      <w:tr w:rsidR="00C9551B" w:rsidRPr="00C9551B" w14:paraId="6738F42E" w14:textId="77777777" w:rsidTr="008A65F5">
        <w:trPr>
          <w:tblHeader/>
          <w:tblCellSpacing w:w="15" w:type="dxa"/>
        </w:trPr>
        <w:tc>
          <w:tcPr>
            <w:tcW w:w="0" w:type="auto"/>
            <w:vAlign w:val="center"/>
            <w:hideMark/>
          </w:tcPr>
          <w:p w14:paraId="28012B5E" w14:textId="77777777" w:rsidR="00C9551B" w:rsidRPr="00C9551B" w:rsidRDefault="00C9551B" w:rsidP="00C9551B">
            <w:pPr>
              <w:spacing w:before="120" w:after="120" w:line="276" w:lineRule="auto"/>
              <w:rPr>
                <w:b/>
                <w:bCs/>
                <w:sz w:val="22"/>
                <w:szCs w:val="22"/>
              </w:rPr>
            </w:pPr>
            <w:r w:rsidRPr="00C9551B">
              <w:rPr>
                <w:b/>
                <w:bCs/>
                <w:sz w:val="22"/>
                <w:szCs w:val="22"/>
              </w:rPr>
              <w:t>Measurable</w:t>
            </w:r>
          </w:p>
        </w:tc>
        <w:tc>
          <w:tcPr>
            <w:tcW w:w="0" w:type="auto"/>
            <w:vAlign w:val="center"/>
            <w:hideMark/>
          </w:tcPr>
          <w:p w14:paraId="4FE9853F" w14:textId="77777777" w:rsidR="00C9551B" w:rsidRPr="00C9551B" w:rsidRDefault="00C9551B" w:rsidP="00C9551B">
            <w:pPr>
              <w:spacing w:before="120" w:after="120" w:line="276" w:lineRule="auto"/>
              <w:rPr>
                <w:b/>
                <w:bCs/>
                <w:sz w:val="22"/>
                <w:szCs w:val="22"/>
              </w:rPr>
            </w:pPr>
            <w:r w:rsidRPr="00C9551B">
              <w:rPr>
                <w:b/>
                <w:bCs/>
                <w:sz w:val="22"/>
                <w:szCs w:val="22"/>
              </w:rPr>
              <w:t>Green</w:t>
            </w:r>
          </w:p>
        </w:tc>
        <w:tc>
          <w:tcPr>
            <w:tcW w:w="0" w:type="auto"/>
            <w:vAlign w:val="center"/>
            <w:hideMark/>
          </w:tcPr>
          <w:p w14:paraId="4CA9A265" w14:textId="77777777" w:rsidR="00C9551B" w:rsidRPr="00C9551B" w:rsidRDefault="00C9551B" w:rsidP="00C9551B">
            <w:pPr>
              <w:spacing w:before="120" w:after="120" w:line="276" w:lineRule="auto"/>
              <w:rPr>
                <w:b/>
                <w:bCs/>
                <w:sz w:val="22"/>
                <w:szCs w:val="22"/>
              </w:rPr>
            </w:pPr>
            <w:r w:rsidRPr="00C9551B">
              <w:rPr>
                <w:b/>
                <w:bCs/>
                <w:sz w:val="22"/>
                <w:szCs w:val="22"/>
              </w:rPr>
              <w:t>Yellow</w:t>
            </w:r>
          </w:p>
        </w:tc>
        <w:tc>
          <w:tcPr>
            <w:tcW w:w="0" w:type="auto"/>
            <w:vAlign w:val="center"/>
            <w:hideMark/>
          </w:tcPr>
          <w:p w14:paraId="22C7D4BC" w14:textId="77777777" w:rsidR="00C9551B" w:rsidRPr="00C9551B" w:rsidRDefault="00C9551B" w:rsidP="00C9551B">
            <w:pPr>
              <w:spacing w:before="120" w:after="120" w:line="276" w:lineRule="auto"/>
              <w:rPr>
                <w:b/>
                <w:bCs/>
                <w:sz w:val="22"/>
                <w:szCs w:val="22"/>
              </w:rPr>
            </w:pPr>
            <w:r w:rsidRPr="00C9551B">
              <w:rPr>
                <w:b/>
                <w:bCs/>
                <w:sz w:val="22"/>
                <w:szCs w:val="22"/>
              </w:rPr>
              <w:t>Red</w:t>
            </w:r>
          </w:p>
        </w:tc>
      </w:tr>
      <w:tr w:rsidR="00C9551B" w:rsidRPr="00C9551B" w14:paraId="3A5B77D2" w14:textId="77777777" w:rsidTr="008A65F5">
        <w:trPr>
          <w:tblCellSpacing w:w="15" w:type="dxa"/>
        </w:trPr>
        <w:tc>
          <w:tcPr>
            <w:tcW w:w="0" w:type="auto"/>
            <w:vAlign w:val="center"/>
            <w:hideMark/>
          </w:tcPr>
          <w:p w14:paraId="0EFC7848" w14:textId="77777777" w:rsidR="00C9551B" w:rsidRPr="00C9551B" w:rsidRDefault="00C9551B" w:rsidP="00C9551B">
            <w:pPr>
              <w:spacing w:before="120" w:after="120" w:line="276" w:lineRule="auto"/>
              <w:rPr>
                <w:sz w:val="22"/>
                <w:szCs w:val="22"/>
              </w:rPr>
            </w:pPr>
            <w:r w:rsidRPr="00C9551B">
              <w:rPr>
                <w:sz w:val="22"/>
                <w:szCs w:val="22"/>
              </w:rPr>
              <w:t>Revenue vs. plan (week-to-date and rolling quarter, by segment)</w:t>
            </w:r>
          </w:p>
        </w:tc>
        <w:tc>
          <w:tcPr>
            <w:tcW w:w="0" w:type="auto"/>
            <w:vAlign w:val="center"/>
            <w:hideMark/>
          </w:tcPr>
          <w:p w14:paraId="069F2765" w14:textId="77777777" w:rsidR="00C9551B" w:rsidRPr="00C9551B" w:rsidRDefault="00C9551B" w:rsidP="00C9551B">
            <w:pPr>
              <w:spacing w:before="120" w:after="120" w:line="276" w:lineRule="auto"/>
              <w:rPr>
                <w:sz w:val="22"/>
                <w:szCs w:val="22"/>
              </w:rPr>
            </w:pPr>
            <w:r w:rsidRPr="00C9551B">
              <w:rPr>
                <w:sz w:val="22"/>
                <w:szCs w:val="22"/>
              </w:rPr>
              <w:t>≥100% of plan</w:t>
            </w:r>
          </w:p>
        </w:tc>
        <w:tc>
          <w:tcPr>
            <w:tcW w:w="0" w:type="auto"/>
            <w:vAlign w:val="center"/>
            <w:hideMark/>
          </w:tcPr>
          <w:p w14:paraId="22B6FAE0" w14:textId="77777777" w:rsidR="00C9551B" w:rsidRPr="00C9551B" w:rsidRDefault="00C9551B" w:rsidP="00C9551B">
            <w:pPr>
              <w:spacing w:before="120" w:after="120" w:line="276" w:lineRule="auto"/>
              <w:rPr>
                <w:sz w:val="22"/>
                <w:szCs w:val="22"/>
              </w:rPr>
            </w:pPr>
            <w:r w:rsidRPr="00C9551B">
              <w:rPr>
                <w:sz w:val="22"/>
                <w:szCs w:val="22"/>
              </w:rPr>
              <w:t>85–99% of plan</w:t>
            </w:r>
          </w:p>
        </w:tc>
        <w:tc>
          <w:tcPr>
            <w:tcW w:w="0" w:type="auto"/>
            <w:vAlign w:val="center"/>
            <w:hideMark/>
          </w:tcPr>
          <w:p w14:paraId="60C32B28" w14:textId="77777777" w:rsidR="00C9551B" w:rsidRPr="00C9551B" w:rsidRDefault="00C9551B" w:rsidP="00C9551B">
            <w:pPr>
              <w:spacing w:before="120" w:after="120" w:line="276" w:lineRule="auto"/>
              <w:rPr>
                <w:sz w:val="22"/>
                <w:szCs w:val="22"/>
              </w:rPr>
            </w:pPr>
            <w:r w:rsidRPr="00C9551B">
              <w:rPr>
                <w:sz w:val="22"/>
                <w:szCs w:val="22"/>
              </w:rPr>
              <w:t>&lt;85% of plan</w:t>
            </w:r>
          </w:p>
        </w:tc>
      </w:tr>
      <w:tr w:rsidR="00C9551B" w:rsidRPr="00C9551B" w14:paraId="03AACD66" w14:textId="77777777" w:rsidTr="008A65F5">
        <w:trPr>
          <w:tblCellSpacing w:w="15" w:type="dxa"/>
        </w:trPr>
        <w:tc>
          <w:tcPr>
            <w:tcW w:w="0" w:type="auto"/>
            <w:vAlign w:val="center"/>
            <w:hideMark/>
          </w:tcPr>
          <w:p w14:paraId="62108868" w14:textId="77777777" w:rsidR="00C9551B" w:rsidRPr="00C9551B" w:rsidRDefault="00C9551B" w:rsidP="00C9551B">
            <w:pPr>
              <w:spacing w:before="120" w:after="120" w:line="276" w:lineRule="auto"/>
              <w:rPr>
                <w:sz w:val="22"/>
                <w:szCs w:val="22"/>
              </w:rPr>
            </w:pPr>
            <w:r w:rsidRPr="00C9551B">
              <w:rPr>
                <w:sz w:val="22"/>
                <w:szCs w:val="22"/>
              </w:rPr>
              <w:t>Pipeline coverage ratio (total qualified pipeline value vs. quarterly revenue target)</w:t>
            </w:r>
          </w:p>
        </w:tc>
        <w:tc>
          <w:tcPr>
            <w:tcW w:w="0" w:type="auto"/>
            <w:vAlign w:val="center"/>
            <w:hideMark/>
          </w:tcPr>
          <w:p w14:paraId="2F4DE4CF" w14:textId="77777777" w:rsidR="00C9551B" w:rsidRPr="00C9551B" w:rsidRDefault="00C9551B" w:rsidP="00C9551B">
            <w:pPr>
              <w:spacing w:before="120" w:after="120" w:line="276" w:lineRule="auto"/>
              <w:rPr>
                <w:sz w:val="22"/>
                <w:szCs w:val="22"/>
              </w:rPr>
            </w:pPr>
            <w:r w:rsidRPr="00C9551B">
              <w:rPr>
                <w:sz w:val="22"/>
                <w:szCs w:val="22"/>
              </w:rPr>
              <w:t>≥3× target</w:t>
            </w:r>
          </w:p>
        </w:tc>
        <w:tc>
          <w:tcPr>
            <w:tcW w:w="0" w:type="auto"/>
            <w:vAlign w:val="center"/>
            <w:hideMark/>
          </w:tcPr>
          <w:p w14:paraId="5A4FA9AC" w14:textId="77777777" w:rsidR="00C9551B" w:rsidRPr="00C9551B" w:rsidRDefault="00C9551B" w:rsidP="00C9551B">
            <w:pPr>
              <w:spacing w:before="120" w:after="120" w:line="276" w:lineRule="auto"/>
              <w:rPr>
                <w:sz w:val="22"/>
                <w:szCs w:val="22"/>
              </w:rPr>
            </w:pPr>
            <w:r w:rsidRPr="00C9551B">
              <w:rPr>
                <w:sz w:val="22"/>
                <w:szCs w:val="22"/>
              </w:rPr>
              <w:t>2–2.9× target</w:t>
            </w:r>
          </w:p>
        </w:tc>
        <w:tc>
          <w:tcPr>
            <w:tcW w:w="0" w:type="auto"/>
            <w:vAlign w:val="center"/>
            <w:hideMark/>
          </w:tcPr>
          <w:p w14:paraId="3D2D0879" w14:textId="77777777" w:rsidR="00C9551B" w:rsidRPr="00C9551B" w:rsidRDefault="00C9551B" w:rsidP="00C9551B">
            <w:pPr>
              <w:spacing w:before="120" w:after="120" w:line="276" w:lineRule="auto"/>
              <w:rPr>
                <w:sz w:val="22"/>
                <w:szCs w:val="22"/>
              </w:rPr>
            </w:pPr>
            <w:r w:rsidRPr="00C9551B">
              <w:rPr>
                <w:sz w:val="22"/>
                <w:szCs w:val="22"/>
              </w:rPr>
              <w:t>&lt;2× target</w:t>
            </w:r>
          </w:p>
        </w:tc>
      </w:tr>
    </w:tbl>
    <w:p w14:paraId="693DE4F5" w14:textId="42B998DB" w:rsidR="008A65F5" w:rsidRDefault="008A65F5">
      <w:pPr>
        <w:rPr>
          <w:sz w:val="22"/>
          <w:szCs w:val="22"/>
        </w:rPr>
      </w:pPr>
    </w:p>
    <w:p w14:paraId="062556BE" w14:textId="77777777" w:rsidR="00C9551B" w:rsidRPr="00C9551B" w:rsidRDefault="00C9551B" w:rsidP="008A65F5">
      <w:pPr>
        <w:pStyle w:val="Heading2"/>
      </w:pPr>
      <w:r w:rsidRPr="00C9551B">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1609"/>
        <w:gridCol w:w="1405"/>
        <w:gridCol w:w="1384"/>
      </w:tblGrid>
      <w:tr w:rsidR="00C9551B" w:rsidRPr="00C9551B" w14:paraId="49F1D922" w14:textId="77777777" w:rsidTr="00674D92">
        <w:trPr>
          <w:tblHeader/>
          <w:tblCellSpacing w:w="15" w:type="dxa"/>
        </w:trPr>
        <w:tc>
          <w:tcPr>
            <w:tcW w:w="4917" w:type="dxa"/>
            <w:vAlign w:val="center"/>
            <w:hideMark/>
          </w:tcPr>
          <w:p w14:paraId="617D61F5" w14:textId="77777777" w:rsidR="00C9551B" w:rsidRPr="00C9551B" w:rsidRDefault="00C9551B" w:rsidP="00C9551B">
            <w:pPr>
              <w:spacing w:before="120" w:after="120" w:line="276" w:lineRule="auto"/>
              <w:rPr>
                <w:b/>
                <w:bCs/>
                <w:sz w:val="22"/>
                <w:szCs w:val="22"/>
              </w:rPr>
            </w:pPr>
            <w:r w:rsidRPr="00C9551B">
              <w:rPr>
                <w:b/>
                <w:bCs/>
                <w:sz w:val="22"/>
                <w:szCs w:val="22"/>
              </w:rPr>
              <w:t>Target</w:t>
            </w:r>
          </w:p>
        </w:tc>
        <w:tc>
          <w:tcPr>
            <w:tcW w:w="1579" w:type="dxa"/>
            <w:vAlign w:val="center"/>
            <w:hideMark/>
          </w:tcPr>
          <w:p w14:paraId="2223D0EB" w14:textId="77777777" w:rsidR="00C9551B" w:rsidRPr="00C9551B" w:rsidRDefault="00C9551B" w:rsidP="00C9551B">
            <w:pPr>
              <w:spacing w:before="120" w:after="120" w:line="276" w:lineRule="auto"/>
              <w:rPr>
                <w:b/>
                <w:bCs/>
                <w:sz w:val="22"/>
                <w:szCs w:val="22"/>
              </w:rPr>
            </w:pPr>
            <w:r w:rsidRPr="00C9551B">
              <w:rPr>
                <w:b/>
                <w:bCs/>
                <w:sz w:val="22"/>
                <w:szCs w:val="22"/>
              </w:rPr>
              <w:t>Green</w:t>
            </w:r>
          </w:p>
        </w:tc>
        <w:tc>
          <w:tcPr>
            <w:tcW w:w="0" w:type="auto"/>
            <w:vAlign w:val="center"/>
            <w:hideMark/>
          </w:tcPr>
          <w:p w14:paraId="531283D6" w14:textId="77777777" w:rsidR="00C9551B" w:rsidRPr="00C9551B" w:rsidRDefault="00C9551B" w:rsidP="00C9551B">
            <w:pPr>
              <w:spacing w:before="120" w:after="120" w:line="276" w:lineRule="auto"/>
              <w:rPr>
                <w:b/>
                <w:bCs/>
                <w:sz w:val="22"/>
                <w:szCs w:val="22"/>
              </w:rPr>
            </w:pPr>
            <w:r w:rsidRPr="00C9551B">
              <w:rPr>
                <w:b/>
                <w:bCs/>
                <w:sz w:val="22"/>
                <w:szCs w:val="22"/>
              </w:rPr>
              <w:t>Yellow</w:t>
            </w:r>
          </w:p>
        </w:tc>
        <w:tc>
          <w:tcPr>
            <w:tcW w:w="0" w:type="auto"/>
            <w:vAlign w:val="center"/>
            <w:hideMark/>
          </w:tcPr>
          <w:p w14:paraId="085898FD" w14:textId="77777777" w:rsidR="00C9551B" w:rsidRPr="00C9551B" w:rsidRDefault="00C9551B" w:rsidP="00C9551B">
            <w:pPr>
              <w:spacing w:before="120" w:after="120" w:line="276" w:lineRule="auto"/>
              <w:rPr>
                <w:b/>
                <w:bCs/>
                <w:sz w:val="22"/>
                <w:szCs w:val="22"/>
              </w:rPr>
            </w:pPr>
            <w:r w:rsidRPr="00C9551B">
              <w:rPr>
                <w:b/>
                <w:bCs/>
                <w:sz w:val="22"/>
                <w:szCs w:val="22"/>
              </w:rPr>
              <w:t>Red</w:t>
            </w:r>
          </w:p>
        </w:tc>
      </w:tr>
      <w:tr w:rsidR="00C9551B" w:rsidRPr="00C9551B" w14:paraId="3B3646FB" w14:textId="77777777" w:rsidTr="00674D92">
        <w:trPr>
          <w:tblCellSpacing w:w="15" w:type="dxa"/>
        </w:trPr>
        <w:tc>
          <w:tcPr>
            <w:tcW w:w="4917" w:type="dxa"/>
            <w:vAlign w:val="center"/>
            <w:hideMark/>
          </w:tcPr>
          <w:p w14:paraId="5E23C22B" w14:textId="77777777" w:rsidR="00C9551B" w:rsidRPr="00C9551B" w:rsidRDefault="00C9551B" w:rsidP="00C9551B">
            <w:pPr>
              <w:spacing w:before="120" w:after="120" w:line="276" w:lineRule="auto"/>
              <w:rPr>
                <w:sz w:val="22"/>
                <w:szCs w:val="22"/>
              </w:rPr>
            </w:pPr>
            <w:r w:rsidRPr="00C9551B">
              <w:rPr>
                <w:sz w:val="22"/>
                <w:szCs w:val="22"/>
              </w:rPr>
              <w:t>Forecast accuracy (actual revenue vs. forecast submitted at week 8 of quarter)</w:t>
            </w:r>
          </w:p>
        </w:tc>
        <w:tc>
          <w:tcPr>
            <w:tcW w:w="1579" w:type="dxa"/>
            <w:vAlign w:val="center"/>
            <w:hideMark/>
          </w:tcPr>
          <w:p w14:paraId="1CDCDD24" w14:textId="77777777" w:rsidR="00C9551B" w:rsidRPr="00C9551B" w:rsidRDefault="00C9551B" w:rsidP="00C9551B">
            <w:pPr>
              <w:spacing w:before="120" w:after="120" w:line="276" w:lineRule="auto"/>
              <w:rPr>
                <w:sz w:val="22"/>
                <w:szCs w:val="22"/>
              </w:rPr>
            </w:pPr>
            <w:r w:rsidRPr="00C9551B">
              <w:rPr>
                <w:sz w:val="22"/>
                <w:szCs w:val="22"/>
              </w:rPr>
              <w:t>Within ±10%</w:t>
            </w:r>
          </w:p>
        </w:tc>
        <w:tc>
          <w:tcPr>
            <w:tcW w:w="0" w:type="auto"/>
            <w:vAlign w:val="center"/>
            <w:hideMark/>
          </w:tcPr>
          <w:p w14:paraId="601C68AC" w14:textId="77777777" w:rsidR="00C9551B" w:rsidRPr="00C9551B" w:rsidRDefault="00C9551B" w:rsidP="00C9551B">
            <w:pPr>
              <w:spacing w:before="120" w:after="120" w:line="276" w:lineRule="auto"/>
              <w:rPr>
                <w:sz w:val="22"/>
                <w:szCs w:val="22"/>
              </w:rPr>
            </w:pPr>
            <w:r w:rsidRPr="00C9551B">
              <w:rPr>
                <w:sz w:val="22"/>
                <w:szCs w:val="22"/>
              </w:rPr>
              <w:t>±11–20%</w:t>
            </w:r>
          </w:p>
        </w:tc>
        <w:tc>
          <w:tcPr>
            <w:tcW w:w="0" w:type="auto"/>
            <w:vAlign w:val="center"/>
            <w:hideMark/>
          </w:tcPr>
          <w:p w14:paraId="3CE869F9" w14:textId="77777777" w:rsidR="00C9551B" w:rsidRPr="00C9551B" w:rsidRDefault="00C9551B" w:rsidP="00C9551B">
            <w:pPr>
              <w:spacing w:before="120" w:after="120" w:line="276" w:lineRule="auto"/>
              <w:rPr>
                <w:sz w:val="22"/>
                <w:szCs w:val="22"/>
              </w:rPr>
            </w:pPr>
            <w:r w:rsidRPr="00C9551B">
              <w:rPr>
                <w:sz w:val="22"/>
                <w:szCs w:val="22"/>
              </w:rPr>
              <w:t>&gt;±20%</w:t>
            </w:r>
          </w:p>
        </w:tc>
      </w:tr>
      <w:tr w:rsidR="00C9551B" w:rsidRPr="00C9551B" w14:paraId="5E302BBF" w14:textId="77777777" w:rsidTr="00674D92">
        <w:trPr>
          <w:tblCellSpacing w:w="15" w:type="dxa"/>
        </w:trPr>
        <w:tc>
          <w:tcPr>
            <w:tcW w:w="4917" w:type="dxa"/>
            <w:vAlign w:val="center"/>
            <w:hideMark/>
          </w:tcPr>
          <w:p w14:paraId="2C4DD6A3" w14:textId="77AA19C2" w:rsidR="00C9551B" w:rsidRPr="00C9551B" w:rsidRDefault="00674D92" w:rsidP="00C9551B">
            <w:pPr>
              <w:spacing w:before="120" w:after="120" w:line="276" w:lineRule="auto"/>
              <w:rPr>
                <w:sz w:val="22"/>
                <w:szCs w:val="22"/>
              </w:rPr>
            </w:pPr>
            <w:r w:rsidRPr="00674D92">
              <w:rPr>
                <w:sz w:val="22"/>
                <w:szCs w:val="22"/>
              </w:rPr>
              <w:t>Win rate by motion (B2B Content Sales, Channel &amp; Reseller, Institutional Sales, tracked separately)</w:t>
            </w:r>
          </w:p>
        </w:tc>
        <w:tc>
          <w:tcPr>
            <w:tcW w:w="1579" w:type="dxa"/>
            <w:vAlign w:val="center"/>
            <w:hideMark/>
          </w:tcPr>
          <w:p w14:paraId="413001AF" w14:textId="77777777" w:rsidR="00C9551B" w:rsidRPr="00C9551B" w:rsidRDefault="00C9551B" w:rsidP="00C9551B">
            <w:pPr>
              <w:spacing w:before="120" w:after="120" w:line="276" w:lineRule="auto"/>
              <w:rPr>
                <w:sz w:val="22"/>
                <w:szCs w:val="22"/>
              </w:rPr>
            </w:pPr>
            <w:r w:rsidRPr="00C9551B">
              <w:rPr>
                <w:sz w:val="22"/>
                <w:szCs w:val="22"/>
              </w:rPr>
              <w:t>At or above segment baseline</w:t>
            </w:r>
          </w:p>
        </w:tc>
        <w:tc>
          <w:tcPr>
            <w:tcW w:w="0" w:type="auto"/>
            <w:vAlign w:val="center"/>
            <w:hideMark/>
          </w:tcPr>
          <w:p w14:paraId="69BD6193" w14:textId="77777777" w:rsidR="00C9551B" w:rsidRPr="00C9551B" w:rsidRDefault="00C9551B" w:rsidP="00C9551B">
            <w:pPr>
              <w:spacing w:before="120" w:after="120" w:line="276" w:lineRule="auto"/>
              <w:rPr>
                <w:sz w:val="22"/>
                <w:szCs w:val="22"/>
              </w:rPr>
            </w:pPr>
            <w:r w:rsidRPr="00C9551B">
              <w:rPr>
                <w:sz w:val="22"/>
                <w:szCs w:val="22"/>
              </w:rPr>
              <w:t>5–10% below baseline</w:t>
            </w:r>
          </w:p>
        </w:tc>
        <w:tc>
          <w:tcPr>
            <w:tcW w:w="0" w:type="auto"/>
            <w:vAlign w:val="center"/>
            <w:hideMark/>
          </w:tcPr>
          <w:p w14:paraId="21553DCA" w14:textId="77777777" w:rsidR="00C9551B" w:rsidRPr="00C9551B" w:rsidRDefault="00C9551B" w:rsidP="00C9551B">
            <w:pPr>
              <w:spacing w:before="120" w:after="120" w:line="276" w:lineRule="auto"/>
              <w:rPr>
                <w:sz w:val="22"/>
                <w:szCs w:val="22"/>
              </w:rPr>
            </w:pPr>
            <w:r w:rsidRPr="00C9551B">
              <w:rPr>
                <w:sz w:val="22"/>
                <w:szCs w:val="22"/>
              </w:rPr>
              <w:t>&gt;10% below baseline</w:t>
            </w:r>
          </w:p>
        </w:tc>
      </w:tr>
      <w:tr w:rsidR="00C9551B" w:rsidRPr="00C9551B" w14:paraId="0B51C739" w14:textId="77777777" w:rsidTr="00674D92">
        <w:trPr>
          <w:tblCellSpacing w:w="15" w:type="dxa"/>
        </w:trPr>
        <w:tc>
          <w:tcPr>
            <w:tcW w:w="4917" w:type="dxa"/>
            <w:vAlign w:val="center"/>
            <w:hideMark/>
          </w:tcPr>
          <w:p w14:paraId="790B3585" w14:textId="4BEFB0FF" w:rsidR="00C9551B" w:rsidRPr="00C9551B" w:rsidRDefault="00674D92" w:rsidP="00C9551B">
            <w:pPr>
              <w:spacing w:before="120" w:after="120" w:line="276" w:lineRule="auto"/>
              <w:rPr>
                <w:sz w:val="22"/>
                <w:szCs w:val="22"/>
              </w:rPr>
            </w:pPr>
            <w:r w:rsidRPr="00674D92">
              <w:rPr>
                <w:sz w:val="22"/>
                <w:szCs w:val="22"/>
              </w:rPr>
              <w:t>Channel/partner activation rate (% of signed partners generating revenue within 90 days)</w:t>
            </w:r>
          </w:p>
        </w:tc>
        <w:tc>
          <w:tcPr>
            <w:tcW w:w="1579" w:type="dxa"/>
            <w:vAlign w:val="center"/>
            <w:hideMark/>
          </w:tcPr>
          <w:p w14:paraId="3E11282D" w14:textId="77777777" w:rsidR="00C9551B" w:rsidRPr="00C9551B" w:rsidRDefault="00C9551B" w:rsidP="00C9551B">
            <w:pPr>
              <w:spacing w:before="120" w:after="120" w:line="276" w:lineRule="auto"/>
              <w:rPr>
                <w:sz w:val="22"/>
                <w:szCs w:val="22"/>
              </w:rPr>
            </w:pPr>
            <w:r w:rsidRPr="00C9551B">
              <w:rPr>
                <w:sz w:val="22"/>
                <w:szCs w:val="22"/>
              </w:rPr>
              <w:t>≥70%</w:t>
            </w:r>
          </w:p>
        </w:tc>
        <w:tc>
          <w:tcPr>
            <w:tcW w:w="0" w:type="auto"/>
            <w:vAlign w:val="center"/>
            <w:hideMark/>
          </w:tcPr>
          <w:p w14:paraId="333F1FBD" w14:textId="77777777" w:rsidR="00C9551B" w:rsidRPr="00C9551B" w:rsidRDefault="00C9551B" w:rsidP="00C9551B">
            <w:pPr>
              <w:spacing w:before="120" w:after="120" w:line="276" w:lineRule="auto"/>
              <w:rPr>
                <w:sz w:val="22"/>
                <w:szCs w:val="22"/>
              </w:rPr>
            </w:pPr>
            <w:r w:rsidRPr="00C9551B">
              <w:rPr>
                <w:sz w:val="22"/>
                <w:szCs w:val="22"/>
              </w:rPr>
              <w:t>50–69%</w:t>
            </w:r>
          </w:p>
        </w:tc>
        <w:tc>
          <w:tcPr>
            <w:tcW w:w="0" w:type="auto"/>
            <w:vAlign w:val="center"/>
            <w:hideMark/>
          </w:tcPr>
          <w:p w14:paraId="17B163E3" w14:textId="77777777" w:rsidR="00C9551B" w:rsidRPr="00C9551B" w:rsidRDefault="00C9551B" w:rsidP="00C9551B">
            <w:pPr>
              <w:spacing w:before="120" w:after="120" w:line="276" w:lineRule="auto"/>
              <w:rPr>
                <w:sz w:val="22"/>
                <w:szCs w:val="22"/>
              </w:rPr>
            </w:pPr>
            <w:r w:rsidRPr="00C9551B">
              <w:rPr>
                <w:sz w:val="22"/>
                <w:szCs w:val="22"/>
              </w:rPr>
              <w:t>&lt;50%</w:t>
            </w:r>
          </w:p>
        </w:tc>
      </w:tr>
    </w:tbl>
    <w:p w14:paraId="5B547B52" w14:textId="40C01D65" w:rsidR="00C9551B" w:rsidRPr="00C9551B" w:rsidRDefault="00C9551B" w:rsidP="00C9551B">
      <w:pPr>
        <w:spacing w:before="120" w:after="120" w:line="276" w:lineRule="auto"/>
        <w:rPr>
          <w:sz w:val="22"/>
          <w:szCs w:val="22"/>
        </w:rPr>
      </w:pPr>
    </w:p>
    <w:p w14:paraId="530BD9AC" w14:textId="77777777" w:rsidR="00C9551B" w:rsidRPr="00C9551B" w:rsidRDefault="00C9551B" w:rsidP="008A65F5">
      <w:pPr>
        <w:pStyle w:val="Heading2"/>
      </w:pPr>
      <w:r w:rsidRPr="00C9551B">
        <w:t>Rocks</w:t>
      </w:r>
    </w:p>
    <w:p w14:paraId="08AA7002" w14:textId="77777777" w:rsidR="00C9551B" w:rsidRPr="00C9551B" w:rsidRDefault="00C9551B" w:rsidP="00C9551B">
      <w:pPr>
        <w:spacing w:before="120" w:after="120" w:line="276" w:lineRule="auto"/>
        <w:rPr>
          <w:sz w:val="22"/>
          <w:szCs w:val="22"/>
        </w:rPr>
      </w:pPr>
      <w:r w:rsidRPr="00C9551B">
        <w:rPr>
          <w:i/>
          <w:iCs/>
          <w:sz w:val="22"/>
          <w:szCs w:val="22"/>
        </w:rPr>
        <w:t>Quarterly Rocks for this seat are set at Annual and Quarterly Planning sessions and tracked weekly in the L10 Scorecard.</w:t>
      </w:r>
    </w:p>
    <w:tbl>
      <w:tblPr>
        <w:tblW w:w="9609"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1985"/>
        <w:gridCol w:w="1729"/>
        <w:gridCol w:w="1926"/>
      </w:tblGrid>
      <w:tr w:rsidR="00C9551B" w:rsidRPr="00C9551B" w14:paraId="4E60F87D" w14:textId="77777777" w:rsidTr="006B7781">
        <w:trPr>
          <w:trHeight w:val="581"/>
          <w:tblHeader/>
          <w:tblCellSpacing w:w="15" w:type="dxa"/>
        </w:trPr>
        <w:tc>
          <w:tcPr>
            <w:tcW w:w="3924" w:type="dxa"/>
            <w:vAlign w:val="center"/>
            <w:hideMark/>
          </w:tcPr>
          <w:p w14:paraId="0D97AC02" w14:textId="77777777" w:rsidR="00C9551B" w:rsidRPr="00C9551B" w:rsidRDefault="00C9551B" w:rsidP="00C9551B">
            <w:pPr>
              <w:spacing w:before="120" w:after="120" w:line="276" w:lineRule="auto"/>
              <w:rPr>
                <w:b/>
                <w:bCs/>
                <w:sz w:val="22"/>
                <w:szCs w:val="22"/>
              </w:rPr>
            </w:pPr>
            <w:r w:rsidRPr="00C9551B">
              <w:rPr>
                <w:b/>
                <w:bCs/>
                <w:sz w:val="22"/>
                <w:szCs w:val="22"/>
              </w:rPr>
              <w:t>Rock</w:t>
            </w:r>
          </w:p>
        </w:tc>
        <w:tc>
          <w:tcPr>
            <w:tcW w:w="1955" w:type="dxa"/>
            <w:vAlign w:val="center"/>
            <w:hideMark/>
          </w:tcPr>
          <w:p w14:paraId="0EAE93CF" w14:textId="77777777" w:rsidR="00C9551B" w:rsidRPr="00C9551B" w:rsidRDefault="00C9551B" w:rsidP="00C9551B">
            <w:pPr>
              <w:spacing w:before="120" w:after="120" w:line="276" w:lineRule="auto"/>
              <w:rPr>
                <w:b/>
                <w:bCs/>
                <w:sz w:val="22"/>
                <w:szCs w:val="22"/>
              </w:rPr>
            </w:pPr>
            <w:r w:rsidRPr="00C9551B">
              <w:rPr>
                <w:b/>
                <w:bCs/>
                <w:sz w:val="22"/>
                <w:szCs w:val="22"/>
              </w:rPr>
              <w:t>Owner</w:t>
            </w:r>
          </w:p>
        </w:tc>
        <w:tc>
          <w:tcPr>
            <w:tcW w:w="1699" w:type="dxa"/>
            <w:vAlign w:val="center"/>
            <w:hideMark/>
          </w:tcPr>
          <w:p w14:paraId="5A691FD3" w14:textId="77777777" w:rsidR="00C9551B" w:rsidRPr="00C9551B" w:rsidRDefault="00C9551B" w:rsidP="00C9551B">
            <w:pPr>
              <w:spacing w:before="120" w:after="120" w:line="276" w:lineRule="auto"/>
              <w:rPr>
                <w:b/>
                <w:bCs/>
                <w:sz w:val="22"/>
                <w:szCs w:val="22"/>
              </w:rPr>
            </w:pPr>
            <w:r w:rsidRPr="00C9551B">
              <w:rPr>
                <w:b/>
                <w:bCs/>
                <w:sz w:val="22"/>
                <w:szCs w:val="22"/>
              </w:rPr>
              <w:t>Due Date</w:t>
            </w:r>
          </w:p>
        </w:tc>
        <w:tc>
          <w:tcPr>
            <w:tcW w:w="0" w:type="auto"/>
            <w:vAlign w:val="center"/>
            <w:hideMark/>
          </w:tcPr>
          <w:p w14:paraId="0DF6C144" w14:textId="77777777" w:rsidR="00C9551B" w:rsidRPr="00C9551B" w:rsidRDefault="00C9551B" w:rsidP="00C9551B">
            <w:pPr>
              <w:spacing w:before="120" w:after="120" w:line="276" w:lineRule="auto"/>
              <w:rPr>
                <w:b/>
                <w:bCs/>
                <w:sz w:val="22"/>
                <w:szCs w:val="22"/>
              </w:rPr>
            </w:pPr>
            <w:r w:rsidRPr="00C9551B">
              <w:rPr>
                <w:b/>
                <w:bCs/>
                <w:sz w:val="22"/>
                <w:szCs w:val="22"/>
              </w:rPr>
              <w:t>Status</w:t>
            </w:r>
          </w:p>
        </w:tc>
      </w:tr>
      <w:tr w:rsidR="00C9551B" w:rsidRPr="00C9551B" w14:paraId="453BED56" w14:textId="77777777" w:rsidTr="006B7781">
        <w:trPr>
          <w:trHeight w:val="581"/>
          <w:tblCellSpacing w:w="15" w:type="dxa"/>
        </w:trPr>
        <w:tc>
          <w:tcPr>
            <w:tcW w:w="3924" w:type="dxa"/>
            <w:vAlign w:val="center"/>
            <w:hideMark/>
          </w:tcPr>
          <w:p w14:paraId="7929A262" w14:textId="77777777" w:rsidR="00C9551B" w:rsidRPr="00C9551B" w:rsidRDefault="00C9551B" w:rsidP="00C9551B">
            <w:pPr>
              <w:spacing w:before="120" w:after="120" w:line="276" w:lineRule="auto"/>
              <w:rPr>
                <w:sz w:val="22"/>
                <w:szCs w:val="22"/>
              </w:rPr>
            </w:pPr>
            <w:r w:rsidRPr="00C9551B">
              <w:rPr>
                <w:sz w:val="22"/>
                <w:szCs w:val="22"/>
              </w:rPr>
              <w:t>Re-set marketing and sales alignment strategy</w:t>
            </w:r>
          </w:p>
        </w:tc>
        <w:tc>
          <w:tcPr>
            <w:tcW w:w="1955" w:type="dxa"/>
            <w:vAlign w:val="center"/>
            <w:hideMark/>
          </w:tcPr>
          <w:p w14:paraId="4D4774AC" w14:textId="0D550BB5" w:rsidR="00C9551B" w:rsidRPr="00C9551B" w:rsidRDefault="006B7781" w:rsidP="00C9551B">
            <w:pPr>
              <w:spacing w:before="120" w:after="120" w:line="276" w:lineRule="auto"/>
              <w:rPr>
                <w:sz w:val="22"/>
                <w:szCs w:val="22"/>
              </w:rPr>
            </w:pPr>
            <w:r>
              <w:rPr>
                <w:sz w:val="22"/>
                <w:szCs w:val="22"/>
              </w:rPr>
              <w:t>Head of</w:t>
            </w:r>
            <w:r w:rsidR="00C9551B" w:rsidRPr="00C9551B">
              <w:rPr>
                <w:sz w:val="22"/>
                <w:szCs w:val="22"/>
              </w:rPr>
              <w:t xml:space="preserve"> Revenue</w:t>
            </w:r>
          </w:p>
        </w:tc>
        <w:tc>
          <w:tcPr>
            <w:tcW w:w="1699" w:type="dxa"/>
            <w:vAlign w:val="center"/>
            <w:hideMark/>
          </w:tcPr>
          <w:p w14:paraId="4953DA0D" w14:textId="77777777" w:rsidR="00C9551B" w:rsidRPr="00C9551B" w:rsidRDefault="00C9551B" w:rsidP="00C9551B">
            <w:pPr>
              <w:spacing w:before="120" w:after="120" w:line="276" w:lineRule="auto"/>
              <w:rPr>
                <w:sz w:val="22"/>
                <w:szCs w:val="22"/>
              </w:rPr>
            </w:pPr>
            <w:r w:rsidRPr="00C9551B">
              <w:rPr>
                <w:sz w:val="22"/>
                <w:szCs w:val="22"/>
              </w:rPr>
              <w:t>March 18, 2026</w:t>
            </w:r>
          </w:p>
        </w:tc>
        <w:tc>
          <w:tcPr>
            <w:tcW w:w="0" w:type="auto"/>
            <w:vAlign w:val="center"/>
            <w:hideMark/>
          </w:tcPr>
          <w:p w14:paraId="30E11052" w14:textId="77777777" w:rsidR="00C9551B" w:rsidRPr="00C9551B" w:rsidRDefault="00C9551B" w:rsidP="00C9551B">
            <w:pPr>
              <w:spacing w:before="120" w:after="120" w:line="276" w:lineRule="auto"/>
              <w:rPr>
                <w:sz w:val="22"/>
                <w:szCs w:val="22"/>
              </w:rPr>
            </w:pPr>
            <w:r w:rsidRPr="00C9551B">
              <w:rPr>
                <w:sz w:val="22"/>
                <w:szCs w:val="22"/>
              </w:rPr>
              <w:t>On Track / Off Track</w:t>
            </w:r>
          </w:p>
        </w:tc>
      </w:tr>
      <w:tr w:rsidR="006B7781" w:rsidRPr="00C9551B" w14:paraId="33A6C8EA" w14:textId="77777777" w:rsidTr="006B7781">
        <w:trPr>
          <w:trHeight w:val="593"/>
          <w:tblCellSpacing w:w="15" w:type="dxa"/>
        </w:trPr>
        <w:tc>
          <w:tcPr>
            <w:tcW w:w="3924" w:type="dxa"/>
            <w:vAlign w:val="center"/>
            <w:hideMark/>
          </w:tcPr>
          <w:p w14:paraId="270CC406" w14:textId="77777777" w:rsidR="006B7781" w:rsidRPr="00C9551B" w:rsidRDefault="006B7781" w:rsidP="006B7781">
            <w:pPr>
              <w:spacing w:before="120" w:after="120" w:line="276" w:lineRule="auto"/>
              <w:rPr>
                <w:sz w:val="22"/>
                <w:szCs w:val="22"/>
              </w:rPr>
            </w:pPr>
            <w:r w:rsidRPr="00C9551B">
              <w:rPr>
                <w:sz w:val="22"/>
                <w:szCs w:val="22"/>
              </w:rPr>
              <w:t>[Q Rock 2]</w:t>
            </w:r>
          </w:p>
        </w:tc>
        <w:tc>
          <w:tcPr>
            <w:tcW w:w="1955" w:type="dxa"/>
            <w:vAlign w:val="center"/>
            <w:hideMark/>
          </w:tcPr>
          <w:p w14:paraId="2FC8F478" w14:textId="2063E218" w:rsidR="006B7781" w:rsidRPr="00C9551B" w:rsidRDefault="006B7781" w:rsidP="006B7781">
            <w:pPr>
              <w:spacing w:before="120" w:after="120" w:line="276" w:lineRule="auto"/>
              <w:rPr>
                <w:sz w:val="22"/>
                <w:szCs w:val="22"/>
              </w:rPr>
            </w:pPr>
            <w:r>
              <w:rPr>
                <w:sz w:val="22"/>
                <w:szCs w:val="22"/>
              </w:rPr>
              <w:t>Head of</w:t>
            </w:r>
            <w:r w:rsidRPr="00C9551B">
              <w:rPr>
                <w:sz w:val="22"/>
                <w:szCs w:val="22"/>
              </w:rPr>
              <w:t xml:space="preserve"> Revenue</w:t>
            </w:r>
          </w:p>
        </w:tc>
        <w:tc>
          <w:tcPr>
            <w:tcW w:w="1699" w:type="dxa"/>
            <w:vAlign w:val="center"/>
            <w:hideMark/>
          </w:tcPr>
          <w:p w14:paraId="4B5774B6" w14:textId="77777777" w:rsidR="006B7781" w:rsidRPr="00C9551B" w:rsidRDefault="006B7781" w:rsidP="006B7781">
            <w:pPr>
              <w:spacing w:before="120" w:after="120" w:line="276" w:lineRule="auto"/>
              <w:rPr>
                <w:sz w:val="22"/>
                <w:szCs w:val="22"/>
              </w:rPr>
            </w:pPr>
            <w:r w:rsidRPr="00C9551B">
              <w:rPr>
                <w:sz w:val="22"/>
                <w:szCs w:val="22"/>
              </w:rPr>
              <w:t>[Date]</w:t>
            </w:r>
          </w:p>
        </w:tc>
        <w:tc>
          <w:tcPr>
            <w:tcW w:w="0" w:type="auto"/>
            <w:vAlign w:val="center"/>
            <w:hideMark/>
          </w:tcPr>
          <w:p w14:paraId="75255124" w14:textId="77777777" w:rsidR="006B7781" w:rsidRPr="00C9551B" w:rsidRDefault="006B7781" w:rsidP="006B7781">
            <w:pPr>
              <w:spacing w:before="120" w:after="120" w:line="276" w:lineRule="auto"/>
              <w:rPr>
                <w:sz w:val="22"/>
                <w:szCs w:val="22"/>
              </w:rPr>
            </w:pPr>
            <w:r w:rsidRPr="00C9551B">
              <w:rPr>
                <w:sz w:val="22"/>
                <w:szCs w:val="22"/>
              </w:rPr>
              <w:t>On Track / Off Track</w:t>
            </w:r>
          </w:p>
        </w:tc>
      </w:tr>
      <w:tr w:rsidR="006B7781" w:rsidRPr="00C9551B" w14:paraId="197C9099" w14:textId="77777777" w:rsidTr="006B7781">
        <w:trPr>
          <w:trHeight w:val="568"/>
          <w:tblCellSpacing w:w="15" w:type="dxa"/>
        </w:trPr>
        <w:tc>
          <w:tcPr>
            <w:tcW w:w="3924" w:type="dxa"/>
            <w:vAlign w:val="center"/>
            <w:hideMark/>
          </w:tcPr>
          <w:p w14:paraId="20769625" w14:textId="77777777" w:rsidR="006B7781" w:rsidRPr="00C9551B" w:rsidRDefault="006B7781" w:rsidP="006B7781">
            <w:pPr>
              <w:spacing w:before="120" w:after="120" w:line="276" w:lineRule="auto"/>
              <w:rPr>
                <w:sz w:val="22"/>
                <w:szCs w:val="22"/>
              </w:rPr>
            </w:pPr>
            <w:r w:rsidRPr="00C9551B">
              <w:rPr>
                <w:sz w:val="22"/>
                <w:szCs w:val="22"/>
              </w:rPr>
              <w:t>[Q Rock 3]</w:t>
            </w:r>
          </w:p>
        </w:tc>
        <w:tc>
          <w:tcPr>
            <w:tcW w:w="1955" w:type="dxa"/>
            <w:vAlign w:val="center"/>
            <w:hideMark/>
          </w:tcPr>
          <w:p w14:paraId="006ADAD1" w14:textId="1C86E3E7" w:rsidR="006B7781" w:rsidRPr="00C9551B" w:rsidRDefault="006B7781" w:rsidP="006B7781">
            <w:pPr>
              <w:spacing w:before="120" w:after="120" w:line="276" w:lineRule="auto"/>
              <w:rPr>
                <w:sz w:val="22"/>
                <w:szCs w:val="22"/>
              </w:rPr>
            </w:pPr>
            <w:r>
              <w:rPr>
                <w:sz w:val="22"/>
                <w:szCs w:val="22"/>
              </w:rPr>
              <w:t>Head of</w:t>
            </w:r>
            <w:r w:rsidRPr="00C9551B">
              <w:rPr>
                <w:sz w:val="22"/>
                <w:szCs w:val="22"/>
              </w:rPr>
              <w:t xml:space="preserve"> Revenue</w:t>
            </w:r>
          </w:p>
        </w:tc>
        <w:tc>
          <w:tcPr>
            <w:tcW w:w="1699" w:type="dxa"/>
            <w:vAlign w:val="center"/>
            <w:hideMark/>
          </w:tcPr>
          <w:p w14:paraId="1E594172" w14:textId="77777777" w:rsidR="006B7781" w:rsidRPr="00C9551B" w:rsidRDefault="006B7781" w:rsidP="006B7781">
            <w:pPr>
              <w:spacing w:before="120" w:after="120" w:line="276" w:lineRule="auto"/>
              <w:rPr>
                <w:sz w:val="22"/>
                <w:szCs w:val="22"/>
              </w:rPr>
            </w:pPr>
            <w:r w:rsidRPr="00C9551B">
              <w:rPr>
                <w:sz w:val="22"/>
                <w:szCs w:val="22"/>
              </w:rPr>
              <w:t>[Date]</w:t>
            </w:r>
          </w:p>
        </w:tc>
        <w:tc>
          <w:tcPr>
            <w:tcW w:w="0" w:type="auto"/>
            <w:vAlign w:val="center"/>
            <w:hideMark/>
          </w:tcPr>
          <w:p w14:paraId="61306AC2" w14:textId="77777777" w:rsidR="006B7781" w:rsidRPr="00C9551B" w:rsidRDefault="006B7781" w:rsidP="006B7781">
            <w:pPr>
              <w:spacing w:before="120" w:after="120" w:line="276" w:lineRule="auto"/>
              <w:rPr>
                <w:sz w:val="22"/>
                <w:szCs w:val="22"/>
              </w:rPr>
            </w:pPr>
            <w:r w:rsidRPr="00C9551B">
              <w:rPr>
                <w:sz w:val="22"/>
                <w:szCs w:val="22"/>
              </w:rPr>
              <w:t>On Track / Off Track</w:t>
            </w:r>
          </w:p>
        </w:tc>
      </w:tr>
    </w:tbl>
    <w:p w14:paraId="5AC3FFF8" w14:textId="25347DAA" w:rsidR="00C9551B" w:rsidRPr="00C9551B" w:rsidRDefault="00C9551B" w:rsidP="00C9551B">
      <w:pPr>
        <w:spacing w:before="120" w:after="120" w:line="276" w:lineRule="auto"/>
        <w:rPr>
          <w:sz w:val="22"/>
          <w:szCs w:val="22"/>
        </w:rPr>
      </w:pPr>
    </w:p>
    <w:p w14:paraId="29AE0B90" w14:textId="77777777" w:rsidR="00A17081" w:rsidRDefault="00A17081">
      <w:pPr>
        <w:rPr>
          <w:rFonts w:asciiTheme="majorHAnsi" w:eastAsiaTheme="majorEastAsia" w:hAnsiTheme="majorHAnsi" w:cstheme="majorBidi"/>
          <w:color w:val="0F4761" w:themeColor="accent1" w:themeShade="BF"/>
          <w:sz w:val="32"/>
          <w:szCs w:val="32"/>
        </w:rPr>
      </w:pPr>
      <w:r>
        <w:br w:type="page"/>
      </w:r>
    </w:p>
    <w:p w14:paraId="2C3FA463" w14:textId="2899A725" w:rsidR="00C9551B" w:rsidRPr="00C9551B" w:rsidRDefault="00C9551B" w:rsidP="008A65F5">
      <w:pPr>
        <w:pStyle w:val="Heading2"/>
      </w:pPr>
      <w:r w:rsidRPr="00C9551B">
        <w:lastRenderedPageBreak/>
        <w:t>People Analyzer</w:t>
      </w:r>
    </w:p>
    <w:tbl>
      <w:tblPr>
        <w:tblW w:w="9655" w:type="dxa"/>
        <w:tblLook w:val="04A0" w:firstRow="1" w:lastRow="0" w:firstColumn="1" w:lastColumn="0" w:noHBand="0" w:noVBand="1"/>
      </w:tblPr>
      <w:tblGrid>
        <w:gridCol w:w="2607"/>
        <w:gridCol w:w="4476"/>
        <w:gridCol w:w="850"/>
        <w:gridCol w:w="915"/>
        <w:gridCol w:w="807"/>
      </w:tblGrid>
      <w:tr w:rsidR="00671332" w:rsidRPr="00671332" w14:paraId="543865A8" w14:textId="77777777" w:rsidTr="00671332">
        <w:trPr>
          <w:trHeight w:val="299"/>
        </w:trPr>
        <w:tc>
          <w:tcPr>
            <w:tcW w:w="2607" w:type="dxa"/>
            <w:tcBorders>
              <w:top w:val="single" w:sz="4" w:space="0" w:color="auto"/>
              <w:left w:val="single" w:sz="4" w:space="0" w:color="auto"/>
              <w:bottom w:val="single" w:sz="4" w:space="0" w:color="auto"/>
              <w:right w:val="single" w:sz="4" w:space="0" w:color="auto"/>
            </w:tcBorders>
            <w:vAlign w:val="center"/>
            <w:hideMark/>
          </w:tcPr>
          <w:p w14:paraId="415699E5" w14:textId="77777777" w:rsidR="00671332" w:rsidRPr="00671332" w:rsidRDefault="00671332" w:rsidP="00671332">
            <w:pPr>
              <w:spacing w:after="0" w:line="240" w:lineRule="auto"/>
              <w:rPr>
                <w:rFonts w:ascii="Aptos" w:eastAsia="Times New Roman" w:hAnsi="Aptos" w:cs="Times New Roman"/>
                <w:b/>
                <w:bCs/>
                <w:color w:val="000000"/>
                <w:kern w:val="0"/>
                <w:sz w:val="22"/>
                <w:szCs w:val="22"/>
                <w:lang w:eastAsia="en-CA"/>
                <w14:ligatures w14:val="none"/>
              </w:rPr>
            </w:pPr>
            <w:r w:rsidRPr="00671332">
              <w:rPr>
                <w:rFonts w:ascii="Aptos" w:eastAsia="Times New Roman" w:hAnsi="Aptos" w:cs="Times New Roman"/>
                <w:b/>
                <w:bCs/>
                <w:color w:val="000000"/>
                <w:kern w:val="0"/>
                <w:sz w:val="22"/>
                <w:szCs w:val="22"/>
                <w:lang w:eastAsia="en-CA"/>
                <w14:ligatures w14:val="none"/>
              </w:rPr>
              <w:t>Lens</w:t>
            </w:r>
          </w:p>
        </w:tc>
        <w:tc>
          <w:tcPr>
            <w:tcW w:w="4476" w:type="dxa"/>
            <w:tcBorders>
              <w:top w:val="single" w:sz="4" w:space="0" w:color="auto"/>
              <w:left w:val="nil"/>
              <w:bottom w:val="single" w:sz="4" w:space="0" w:color="auto"/>
              <w:right w:val="single" w:sz="4" w:space="0" w:color="auto"/>
            </w:tcBorders>
            <w:vAlign w:val="center"/>
            <w:hideMark/>
          </w:tcPr>
          <w:p w14:paraId="325AC0EE" w14:textId="77777777" w:rsidR="00671332" w:rsidRPr="00671332" w:rsidRDefault="00671332" w:rsidP="00671332">
            <w:pPr>
              <w:spacing w:after="0" w:line="240" w:lineRule="auto"/>
              <w:rPr>
                <w:rFonts w:ascii="Aptos" w:eastAsia="Times New Roman" w:hAnsi="Aptos" w:cs="Times New Roman"/>
                <w:b/>
                <w:bCs/>
                <w:color w:val="000000"/>
                <w:kern w:val="0"/>
                <w:sz w:val="22"/>
                <w:szCs w:val="22"/>
                <w:lang w:eastAsia="en-CA"/>
                <w14:ligatures w14:val="none"/>
              </w:rPr>
            </w:pPr>
            <w:r w:rsidRPr="00671332">
              <w:rPr>
                <w:rFonts w:ascii="Aptos" w:eastAsia="Times New Roman" w:hAnsi="Aptos" w:cs="Times New Roman"/>
                <w:b/>
                <w:bCs/>
                <w:color w:val="000000"/>
                <w:kern w:val="0"/>
                <w:sz w:val="22"/>
                <w:szCs w:val="22"/>
                <w:lang w:eastAsia="en-CA"/>
                <w14:ligatures w14:val="none"/>
              </w:rPr>
              <w:t>Evaluative Question</w:t>
            </w:r>
          </w:p>
        </w:tc>
        <w:tc>
          <w:tcPr>
            <w:tcW w:w="850" w:type="dxa"/>
            <w:tcBorders>
              <w:top w:val="single" w:sz="4" w:space="0" w:color="auto"/>
              <w:left w:val="nil"/>
              <w:bottom w:val="single" w:sz="4" w:space="0" w:color="auto"/>
              <w:right w:val="single" w:sz="4" w:space="0" w:color="auto"/>
            </w:tcBorders>
            <w:vAlign w:val="center"/>
            <w:hideMark/>
          </w:tcPr>
          <w:p w14:paraId="5EA84306" w14:textId="77777777" w:rsidR="00671332" w:rsidRPr="00671332" w:rsidRDefault="00671332" w:rsidP="00671332">
            <w:pPr>
              <w:spacing w:after="0" w:line="240" w:lineRule="auto"/>
              <w:jc w:val="center"/>
              <w:rPr>
                <w:rFonts w:ascii="Aptos" w:eastAsia="Times New Roman" w:hAnsi="Aptos" w:cs="Times New Roman"/>
                <w:b/>
                <w:bCs/>
                <w:color w:val="000000"/>
                <w:kern w:val="0"/>
                <w:sz w:val="22"/>
                <w:szCs w:val="22"/>
                <w:lang w:eastAsia="en-CA"/>
                <w14:ligatures w14:val="none"/>
              </w:rPr>
            </w:pPr>
            <w:r w:rsidRPr="00671332">
              <w:rPr>
                <w:rFonts w:ascii="Aptos" w:eastAsia="Times New Roman" w:hAnsi="Aptos" w:cs="Times New Roman"/>
                <w:b/>
                <w:bCs/>
                <w:color w:val="000000"/>
                <w:kern w:val="0"/>
                <w:sz w:val="22"/>
                <w:szCs w:val="22"/>
                <w:lang w:eastAsia="en-CA"/>
                <w14:ligatures w14:val="none"/>
              </w:rPr>
              <w:t>+</w:t>
            </w:r>
          </w:p>
        </w:tc>
        <w:tc>
          <w:tcPr>
            <w:tcW w:w="915" w:type="dxa"/>
            <w:tcBorders>
              <w:top w:val="single" w:sz="4" w:space="0" w:color="auto"/>
              <w:left w:val="nil"/>
              <w:bottom w:val="single" w:sz="4" w:space="0" w:color="auto"/>
              <w:right w:val="single" w:sz="4" w:space="0" w:color="auto"/>
            </w:tcBorders>
            <w:vAlign w:val="center"/>
            <w:hideMark/>
          </w:tcPr>
          <w:p w14:paraId="782031D7" w14:textId="77777777" w:rsidR="00671332" w:rsidRPr="00671332" w:rsidRDefault="00671332" w:rsidP="00671332">
            <w:pPr>
              <w:spacing w:after="0" w:line="240" w:lineRule="auto"/>
              <w:jc w:val="center"/>
              <w:rPr>
                <w:rFonts w:ascii="Aptos" w:eastAsia="Times New Roman" w:hAnsi="Aptos" w:cs="Times New Roman"/>
                <w:b/>
                <w:bCs/>
                <w:color w:val="000000"/>
                <w:kern w:val="0"/>
                <w:sz w:val="22"/>
                <w:szCs w:val="22"/>
                <w:lang w:eastAsia="en-CA"/>
                <w14:ligatures w14:val="none"/>
              </w:rPr>
            </w:pPr>
            <w:r w:rsidRPr="00671332">
              <w:rPr>
                <w:rFonts w:ascii="Aptos" w:eastAsia="Times New Roman" w:hAnsi="Aptos" w:cs="Times New Roman"/>
                <w:b/>
                <w:bCs/>
                <w:color w:val="000000"/>
                <w:kern w:val="0"/>
                <w:sz w:val="22"/>
                <w:szCs w:val="22"/>
                <w:lang w:eastAsia="en-CA"/>
                <w14:ligatures w14:val="none"/>
              </w:rPr>
              <w:t>+/–</w:t>
            </w:r>
          </w:p>
        </w:tc>
        <w:tc>
          <w:tcPr>
            <w:tcW w:w="807" w:type="dxa"/>
            <w:tcBorders>
              <w:top w:val="single" w:sz="4" w:space="0" w:color="auto"/>
              <w:left w:val="nil"/>
              <w:bottom w:val="single" w:sz="4" w:space="0" w:color="auto"/>
              <w:right w:val="single" w:sz="4" w:space="0" w:color="auto"/>
            </w:tcBorders>
            <w:vAlign w:val="center"/>
            <w:hideMark/>
          </w:tcPr>
          <w:p w14:paraId="0624FE32" w14:textId="77777777" w:rsidR="00671332" w:rsidRPr="00671332" w:rsidRDefault="00671332" w:rsidP="00671332">
            <w:pPr>
              <w:spacing w:after="0" w:line="240" w:lineRule="auto"/>
              <w:jc w:val="center"/>
              <w:rPr>
                <w:rFonts w:ascii="Aptos" w:eastAsia="Times New Roman" w:hAnsi="Aptos" w:cs="Times New Roman"/>
                <w:b/>
                <w:bCs/>
                <w:color w:val="000000"/>
                <w:kern w:val="0"/>
                <w:sz w:val="22"/>
                <w:szCs w:val="22"/>
                <w:lang w:eastAsia="en-CA"/>
                <w14:ligatures w14:val="none"/>
              </w:rPr>
            </w:pPr>
            <w:r w:rsidRPr="00671332">
              <w:rPr>
                <w:rFonts w:ascii="Aptos" w:eastAsia="Times New Roman" w:hAnsi="Aptos" w:cs="Times New Roman"/>
                <w:b/>
                <w:bCs/>
                <w:color w:val="000000"/>
                <w:kern w:val="0"/>
                <w:sz w:val="22"/>
                <w:szCs w:val="22"/>
                <w:lang w:eastAsia="en-CA"/>
                <w14:ligatures w14:val="none"/>
              </w:rPr>
              <w:t>–</w:t>
            </w:r>
          </w:p>
        </w:tc>
      </w:tr>
      <w:tr w:rsidR="00671332" w:rsidRPr="00671332" w14:paraId="3B4BD231" w14:textId="77777777" w:rsidTr="00671332">
        <w:trPr>
          <w:trHeight w:val="1199"/>
        </w:trPr>
        <w:tc>
          <w:tcPr>
            <w:tcW w:w="2607" w:type="dxa"/>
            <w:tcBorders>
              <w:top w:val="nil"/>
              <w:left w:val="single" w:sz="4" w:space="0" w:color="auto"/>
              <w:bottom w:val="single" w:sz="4" w:space="0" w:color="auto"/>
              <w:right w:val="single" w:sz="4" w:space="0" w:color="auto"/>
            </w:tcBorders>
            <w:vAlign w:val="center"/>
            <w:hideMark/>
          </w:tcPr>
          <w:p w14:paraId="12A0BF4B"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We are Accountable</w:t>
            </w:r>
          </w:p>
        </w:tc>
        <w:tc>
          <w:tcPr>
            <w:tcW w:w="4476" w:type="dxa"/>
            <w:tcBorders>
              <w:top w:val="nil"/>
              <w:left w:val="nil"/>
              <w:bottom w:val="single" w:sz="4" w:space="0" w:color="auto"/>
              <w:right w:val="single" w:sz="4" w:space="0" w:color="auto"/>
            </w:tcBorders>
            <w:vAlign w:val="center"/>
            <w:hideMark/>
          </w:tcPr>
          <w:p w14:paraId="3BD74AE2" w14:textId="6892FA44"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own the revenue number including the hard conversations when results are off plan without deflecting to activity metrics?</w:t>
            </w:r>
          </w:p>
        </w:tc>
        <w:tc>
          <w:tcPr>
            <w:tcW w:w="850" w:type="dxa"/>
            <w:tcBorders>
              <w:top w:val="nil"/>
              <w:left w:val="nil"/>
              <w:bottom w:val="single" w:sz="4" w:space="0" w:color="auto"/>
              <w:right w:val="single" w:sz="4" w:space="0" w:color="auto"/>
            </w:tcBorders>
            <w:vAlign w:val="center"/>
            <w:hideMark/>
          </w:tcPr>
          <w:p w14:paraId="4D608124"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0A470F08"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63186E49"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2F9A35FE" w14:textId="77777777" w:rsidTr="00671332">
        <w:trPr>
          <w:trHeight w:val="1199"/>
        </w:trPr>
        <w:tc>
          <w:tcPr>
            <w:tcW w:w="2607" w:type="dxa"/>
            <w:tcBorders>
              <w:top w:val="nil"/>
              <w:left w:val="single" w:sz="4" w:space="0" w:color="auto"/>
              <w:bottom w:val="single" w:sz="4" w:space="0" w:color="auto"/>
              <w:right w:val="single" w:sz="4" w:space="0" w:color="auto"/>
            </w:tcBorders>
            <w:vAlign w:val="center"/>
            <w:hideMark/>
          </w:tcPr>
          <w:p w14:paraId="66CB7C50"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We are Curious</w:t>
            </w:r>
          </w:p>
        </w:tc>
        <w:tc>
          <w:tcPr>
            <w:tcW w:w="4476" w:type="dxa"/>
            <w:tcBorders>
              <w:top w:val="nil"/>
              <w:left w:val="nil"/>
              <w:bottom w:val="single" w:sz="4" w:space="0" w:color="auto"/>
              <w:right w:val="single" w:sz="4" w:space="0" w:color="auto"/>
            </w:tcBorders>
            <w:vAlign w:val="center"/>
            <w:hideMark/>
          </w:tcPr>
          <w:p w14:paraId="276CF316"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dig into the root cause of pipeline and conversion issues before drawing conclusions or making team changes?</w:t>
            </w:r>
          </w:p>
        </w:tc>
        <w:tc>
          <w:tcPr>
            <w:tcW w:w="850" w:type="dxa"/>
            <w:tcBorders>
              <w:top w:val="nil"/>
              <w:left w:val="nil"/>
              <w:bottom w:val="single" w:sz="4" w:space="0" w:color="auto"/>
              <w:right w:val="single" w:sz="4" w:space="0" w:color="auto"/>
            </w:tcBorders>
            <w:vAlign w:val="center"/>
            <w:hideMark/>
          </w:tcPr>
          <w:p w14:paraId="19B66DA8"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069997A2"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4D5ACDE9"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512B99C8" w14:textId="77777777" w:rsidTr="00671332">
        <w:trPr>
          <w:trHeight w:val="1199"/>
        </w:trPr>
        <w:tc>
          <w:tcPr>
            <w:tcW w:w="2607" w:type="dxa"/>
            <w:tcBorders>
              <w:top w:val="nil"/>
              <w:left w:val="single" w:sz="4" w:space="0" w:color="auto"/>
              <w:bottom w:val="single" w:sz="4" w:space="0" w:color="auto"/>
              <w:right w:val="single" w:sz="4" w:space="0" w:color="auto"/>
            </w:tcBorders>
            <w:vAlign w:val="center"/>
            <w:hideMark/>
          </w:tcPr>
          <w:p w14:paraId="4A161CA7"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We are Driven</w:t>
            </w:r>
          </w:p>
        </w:tc>
        <w:tc>
          <w:tcPr>
            <w:tcW w:w="4476" w:type="dxa"/>
            <w:tcBorders>
              <w:top w:val="nil"/>
              <w:left w:val="nil"/>
              <w:bottom w:val="single" w:sz="4" w:space="0" w:color="auto"/>
              <w:right w:val="single" w:sz="4" w:space="0" w:color="auto"/>
            </w:tcBorders>
            <w:vAlign w:val="center"/>
            <w:hideMark/>
          </w:tcPr>
          <w:p w14:paraId="4D56022B"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maintain revenue system discipline (pipeline reviews, coaching, forecast rigor) consistently through the full quarter?</w:t>
            </w:r>
          </w:p>
        </w:tc>
        <w:tc>
          <w:tcPr>
            <w:tcW w:w="850" w:type="dxa"/>
            <w:tcBorders>
              <w:top w:val="nil"/>
              <w:left w:val="nil"/>
              <w:bottom w:val="single" w:sz="4" w:space="0" w:color="auto"/>
              <w:right w:val="single" w:sz="4" w:space="0" w:color="auto"/>
            </w:tcBorders>
            <w:vAlign w:val="center"/>
            <w:hideMark/>
          </w:tcPr>
          <w:p w14:paraId="779DFABE"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02A94409"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32A3CE3C"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1A01C083" w14:textId="77777777" w:rsidTr="00671332">
        <w:trPr>
          <w:trHeight w:val="899"/>
        </w:trPr>
        <w:tc>
          <w:tcPr>
            <w:tcW w:w="2607" w:type="dxa"/>
            <w:tcBorders>
              <w:top w:val="nil"/>
              <w:left w:val="single" w:sz="4" w:space="0" w:color="auto"/>
              <w:bottom w:val="single" w:sz="4" w:space="0" w:color="auto"/>
              <w:right w:val="single" w:sz="4" w:space="0" w:color="auto"/>
            </w:tcBorders>
            <w:vAlign w:val="center"/>
            <w:hideMark/>
          </w:tcPr>
          <w:p w14:paraId="10B7712A"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We are Nimble</w:t>
            </w:r>
          </w:p>
        </w:tc>
        <w:tc>
          <w:tcPr>
            <w:tcW w:w="4476" w:type="dxa"/>
            <w:tcBorders>
              <w:top w:val="nil"/>
              <w:left w:val="nil"/>
              <w:bottom w:val="single" w:sz="4" w:space="0" w:color="auto"/>
              <w:right w:val="single" w:sz="4" w:space="0" w:color="auto"/>
            </w:tcBorders>
            <w:vAlign w:val="center"/>
            <w:hideMark/>
          </w:tcPr>
          <w:p w14:paraId="687D1420"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adjust strategy and resource focus quickly across three sales motions based on what the data is showing?</w:t>
            </w:r>
          </w:p>
        </w:tc>
        <w:tc>
          <w:tcPr>
            <w:tcW w:w="850" w:type="dxa"/>
            <w:tcBorders>
              <w:top w:val="nil"/>
              <w:left w:val="nil"/>
              <w:bottom w:val="single" w:sz="4" w:space="0" w:color="auto"/>
              <w:right w:val="single" w:sz="4" w:space="0" w:color="auto"/>
            </w:tcBorders>
            <w:vAlign w:val="center"/>
            <w:hideMark/>
          </w:tcPr>
          <w:p w14:paraId="2179EE7D"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5DBEE33C"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7F206CFA"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348DC28B" w14:textId="77777777" w:rsidTr="00671332">
        <w:trPr>
          <w:trHeight w:val="1199"/>
        </w:trPr>
        <w:tc>
          <w:tcPr>
            <w:tcW w:w="2607" w:type="dxa"/>
            <w:tcBorders>
              <w:top w:val="nil"/>
              <w:left w:val="single" w:sz="4" w:space="0" w:color="auto"/>
              <w:bottom w:val="single" w:sz="4" w:space="0" w:color="auto"/>
              <w:right w:val="single" w:sz="4" w:space="0" w:color="auto"/>
            </w:tcBorders>
            <w:vAlign w:val="center"/>
            <w:hideMark/>
          </w:tcPr>
          <w:p w14:paraId="504327A6"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We are Relationship-focused</w:t>
            </w:r>
          </w:p>
        </w:tc>
        <w:tc>
          <w:tcPr>
            <w:tcW w:w="4476" w:type="dxa"/>
            <w:tcBorders>
              <w:top w:val="nil"/>
              <w:left w:val="nil"/>
              <w:bottom w:val="single" w:sz="4" w:space="0" w:color="auto"/>
              <w:right w:val="single" w:sz="4" w:space="0" w:color="auto"/>
            </w:tcBorders>
            <w:vAlign w:val="center"/>
            <w:hideMark/>
          </w:tcPr>
          <w:p w14:paraId="3B54DEC7"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invest in team development, partner relationships, and the marketing-sales partnership with genuine intentionality?</w:t>
            </w:r>
          </w:p>
        </w:tc>
        <w:tc>
          <w:tcPr>
            <w:tcW w:w="850" w:type="dxa"/>
            <w:tcBorders>
              <w:top w:val="nil"/>
              <w:left w:val="nil"/>
              <w:bottom w:val="single" w:sz="4" w:space="0" w:color="auto"/>
              <w:right w:val="single" w:sz="4" w:space="0" w:color="auto"/>
            </w:tcBorders>
            <w:vAlign w:val="center"/>
            <w:hideMark/>
          </w:tcPr>
          <w:p w14:paraId="41F3391B"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2AE29F38"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5302FC16"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44E8984E" w14:textId="77777777" w:rsidTr="00671332">
        <w:trPr>
          <w:trHeight w:val="899"/>
        </w:trPr>
        <w:tc>
          <w:tcPr>
            <w:tcW w:w="2607" w:type="dxa"/>
            <w:tcBorders>
              <w:top w:val="nil"/>
              <w:left w:val="single" w:sz="4" w:space="0" w:color="auto"/>
              <w:bottom w:val="single" w:sz="4" w:space="0" w:color="auto"/>
              <w:right w:val="single" w:sz="4" w:space="0" w:color="auto"/>
            </w:tcBorders>
            <w:vAlign w:val="center"/>
            <w:hideMark/>
          </w:tcPr>
          <w:p w14:paraId="3D6D0D36"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Gets It</w:t>
            </w:r>
          </w:p>
        </w:tc>
        <w:tc>
          <w:tcPr>
            <w:tcW w:w="4476" w:type="dxa"/>
            <w:tcBorders>
              <w:top w:val="nil"/>
              <w:left w:val="nil"/>
              <w:bottom w:val="single" w:sz="4" w:space="0" w:color="auto"/>
              <w:right w:val="single" w:sz="4" w:space="0" w:color="auto"/>
            </w:tcBorders>
            <w:vAlign w:val="center"/>
            <w:hideMark/>
          </w:tcPr>
          <w:p w14:paraId="1BA0ABBC" w14:textId="373B1189" w:rsidR="00671332" w:rsidRPr="00671332" w:rsidRDefault="00AD52AD" w:rsidP="00671332">
            <w:pPr>
              <w:spacing w:after="0" w:line="240" w:lineRule="auto"/>
              <w:rPr>
                <w:rFonts w:ascii="Aptos" w:eastAsia="Times New Roman" w:hAnsi="Aptos" w:cs="Times New Roman"/>
                <w:color w:val="000000"/>
                <w:kern w:val="0"/>
                <w:sz w:val="22"/>
                <w:szCs w:val="22"/>
                <w:lang w:eastAsia="en-CA"/>
                <w14:ligatures w14:val="none"/>
              </w:rPr>
            </w:pPr>
            <w:r w:rsidRPr="00AD52AD">
              <w:rPr>
                <w:rFonts w:ascii="Aptos" w:eastAsia="Times New Roman" w:hAnsi="Aptos" w:cs="Times New Roman"/>
                <w:color w:val="000000"/>
                <w:kern w:val="0"/>
                <w:sz w:val="22"/>
                <w:szCs w:val="22"/>
                <w:lang w:eastAsia="en-CA"/>
                <w14:ligatures w14:val="none"/>
              </w:rPr>
              <w:t>Does this person understand that Revenue, Demand, and Delivery are one revenue system and coordinate across all three as a peer, not a controller?</w:t>
            </w:r>
          </w:p>
        </w:tc>
        <w:tc>
          <w:tcPr>
            <w:tcW w:w="850" w:type="dxa"/>
            <w:tcBorders>
              <w:top w:val="nil"/>
              <w:left w:val="nil"/>
              <w:bottom w:val="single" w:sz="4" w:space="0" w:color="auto"/>
              <w:right w:val="single" w:sz="4" w:space="0" w:color="auto"/>
            </w:tcBorders>
            <w:vAlign w:val="center"/>
            <w:hideMark/>
          </w:tcPr>
          <w:p w14:paraId="7DE8F9F9"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6DCACBE0"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17FC4B7C"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376B46EF" w14:textId="77777777" w:rsidTr="00671332">
        <w:trPr>
          <w:trHeight w:val="899"/>
        </w:trPr>
        <w:tc>
          <w:tcPr>
            <w:tcW w:w="2607" w:type="dxa"/>
            <w:tcBorders>
              <w:top w:val="nil"/>
              <w:left w:val="single" w:sz="4" w:space="0" w:color="auto"/>
              <w:bottom w:val="single" w:sz="4" w:space="0" w:color="auto"/>
              <w:right w:val="single" w:sz="4" w:space="0" w:color="auto"/>
            </w:tcBorders>
            <w:vAlign w:val="center"/>
            <w:hideMark/>
          </w:tcPr>
          <w:p w14:paraId="2A27D462"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Wants It</w:t>
            </w:r>
          </w:p>
        </w:tc>
        <w:tc>
          <w:tcPr>
            <w:tcW w:w="4476" w:type="dxa"/>
            <w:tcBorders>
              <w:top w:val="nil"/>
              <w:left w:val="nil"/>
              <w:bottom w:val="single" w:sz="4" w:space="0" w:color="auto"/>
              <w:right w:val="single" w:sz="4" w:space="0" w:color="auto"/>
            </w:tcBorders>
            <w:vAlign w:val="center"/>
            <w:hideMark/>
          </w:tcPr>
          <w:p w14:paraId="550B8A98" w14:textId="7061E03A"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actively want the forecast discipline, team coaching, and channel conflict conversations</w:t>
            </w:r>
            <w:r>
              <w:rPr>
                <w:rFonts w:ascii="Aptos" w:eastAsia="Times New Roman" w:hAnsi="Aptos" w:cs="Times New Roman"/>
                <w:color w:val="000000"/>
                <w:kern w:val="0"/>
                <w:sz w:val="22"/>
                <w:szCs w:val="22"/>
                <w:lang w:eastAsia="en-CA"/>
                <w14:ligatures w14:val="none"/>
              </w:rPr>
              <w:t>,</w:t>
            </w:r>
            <w:r w:rsidRPr="00671332">
              <w:rPr>
                <w:rFonts w:ascii="Aptos" w:eastAsia="Times New Roman" w:hAnsi="Aptos" w:cs="Times New Roman"/>
                <w:color w:val="000000"/>
                <w:kern w:val="0"/>
                <w:sz w:val="22"/>
                <w:szCs w:val="22"/>
                <w:lang w:eastAsia="en-CA"/>
                <w14:ligatures w14:val="none"/>
              </w:rPr>
              <w:t xml:space="preserve"> not just the wins?</w:t>
            </w:r>
          </w:p>
        </w:tc>
        <w:tc>
          <w:tcPr>
            <w:tcW w:w="850" w:type="dxa"/>
            <w:tcBorders>
              <w:top w:val="nil"/>
              <w:left w:val="nil"/>
              <w:bottom w:val="single" w:sz="4" w:space="0" w:color="auto"/>
              <w:right w:val="single" w:sz="4" w:space="0" w:color="auto"/>
            </w:tcBorders>
            <w:vAlign w:val="center"/>
            <w:hideMark/>
          </w:tcPr>
          <w:p w14:paraId="36D0BEA3"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012E4FC1"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68B65F1A"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r w:rsidR="00671332" w:rsidRPr="00671332" w14:paraId="6B3F1760" w14:textId="77777777" w:rsidTr="00671332">
        <w:trPr>
          <w:trHeight w:val="1199"/>
        </w:trPr>
        <w:tc>
          <w:tcPr>
            <w:tcW w:w="2607" w:type="dxa"/>
            <w:tcBorders>
              <w:top w:val="nil"/>
              <w:left w:val="single" w:sz="4" w:space="0" w:color="auto"/>
              <w:bottom w:val="single" w:sz="4" w:space="0" w:color="auto"/>
              <w:right w:val="single" w:sz="4" w:space="0" w:color="auto"/>
            </w:tcBorders>
            <w:vAlign w:val="center"/>
            <w:hideMark/>
          </w:tcPr>
          <w:p w14:paraId="298CFFA4"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Capacity to Do It</w:t>
            </w:r>
          </w:p>
        </w:tc>
        <w:tc>
          <w:tcPr>
            <w:tcW w:w="4476" w:type="dxa"/>
            <w:tcBorders>
              <w:top w:val="nil"/>
              <w:left w:val="nil"/>
              <w:bottom w:val="single" w:sz="4" w:space="0" w:color="auto"/>
              <w:right w:val="single" w:sz="4" w:space="0" w:color="auto"/>
            </w:tcBorders>
            <w:vAlign w:val="center"/>
            <w:hideMark/>
          </w:tcPr>
          <w:p w14:paraId="2137EEA0" w14:textId="77777777" w:rsidR="00671332" w:rsidRPr="00671332" w:rsidRDefault="00671332" w:rsidP="00671332">
            <w:pPr>
              <w:spacing w:after="0" w:line="240" w:lineRule="auto"/>
              <w:rPr>
                <w:rFonts w:ascii="Aptos" w:eastAsia="Times New Roman" w:hAnsi="Aptos" w:cs="Times New Roman"/>
                <w:color w:val="000000"/>
                <w:kern w:val="0"/>
                <w:sz w:val="22"/>
                <w:szCs w:val="22"/>
                <w:lang w:eastAsia="en-CA"/>
                <w14:ligatures w14:val="none"/>
              </w:rPr>
            </w:pPr>
            <w:r w:rsidRPr="00671332">
              <w:rPr>
                <w:rFonts w:ascii="Aptos" w:eastAsia="Times New Roman" w:hAnsi="Aptos" w:cs="Times New Roman"/>
                <w:color w:val="000000"/>
                <w:kern w:val="0"/>
                <w:sz w:val="22"/>
                <w:szCs w:val="22"/>
                <w:lang w:eastAsia="en-CA"/>
                <w14:ligatures w14:val="none"/>
              </w:rPr>
              <w:t>Does this person have the analytical depth, interpersonal range, and bandwidth to lead a multi-motion revenue function at WKT's current stage and target?</w:t>
            </w:r>
          </w:p>
        </w:tc>
        <w:tc>
          <w:tcPr>
            <w:tcW w:w="850" w:type="dxa"/>
            <w:tcBorders>
              <w:top w:val="nil"/>
              <w:left w:val="nil"/>
              <w:bottom w:val="single" w:sz="4" w:space="0" w:color="auto"/>
              <w:right w:val="single" w:sz="4" w:space="0" w:color="auto"/>
            </w:tcBorders>
            <w:vAlign w:val="center"/>
            <w:hideMark/>
          </w:tcPr>
          <w:p w14:paraId="79CA44DE"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915" w:type="dxa"/>
            <w:tcBorders>
              <w:top w:val="nil"/>
              <w:left w:val="nil"/>
              <w:bottom w:val="single" w:sz="4" w:space="0" w:color="auto"/>
              <w:right w:val="single" w:sz="4" w:space="0" w:color="auto"/>
            </w:tcBorders>
            <w:vAlign w:val="center"/>
            <w:hideMark/>
          </w:tcPr>
          <w:p w14:paraId="5FC0E332"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c>
          <w:tcPr>
            <w:tcW w:w="807" w:type="dxa"/>
            <w:tcBorders>
              <w:top w:val="nil"/>
              <w:left w:val="nil"/>
              <w:bottom w:val="single" w:sz="4" w:space="0" w:color="auto"/>
              <w:right w:val="single" w:sz="4" w:space="0" w:color="auto"/>
            </w:tcBorders>
            <w:vAlign w:val="center"/>
            <w:hideMark/>
          </w:tcPr>
          <w:p w14:paraId="05D8DA65" w14:textId="77777777" w:rsidR="00671332" w:rsidRPr="00671332" w:rsidRDefault="00671332" w:rsidP="00671332">
            <w:pPr>
              <w:spacing w:after="0" w:line="240" w:lineRule="auto"/>
              <w:jc w:val="center"/>
              <w:rPr>
                <w:rFonts w:ascii="Aptos" w:eastAsia="Times New Roman" w:hAnsi="Aptos" w:cs="Times New Roman"/>
                <w:color w:val="000000"/>
                <w:kern w:val="0"/>
                <w:lang w:eastAsia="en-CA"/>
                <w14:ligatures w14:val="none"/>
              </w:rPr>
            </w:pPr>
            <w:r w:rsidRPr="00671332">
              <w:rPr>
                <w:rFonts w:ascii="Aptos" w:eastAsia="Times New Roman" w:hAnsi="Aptos" w:cs="Times New Roman"/>
                <w:color w:val="000000"/>
                <w:kern w:val="0"/>
                <w:lang w:eastAsia="en-CA"/>
                <w14:ligatures w14:val="none"/>
              </w:rPr>
              <w:t> </w:t>
            </w:r>
          </w:p>
        </w:tc>
      </w:tr>
    </w:tbl>
    <w:p w14:paraId="5500E795" w14:textId="186E166F" w:rsidR="00C9551B" w:rsidRPr="00C9551B" w:rsidRDefault="00C9551B" w:rsidP="00C9551B">
      <w:pPr>
        <w:spacing w:before="120" w:after="120" w:line="276" w:lineRule="auto"/>
        <w:rPr>
          <w:sz w:val="22"/>
          <w:szCs w:val="22"/>
        </w:rPr>
      </w:pPr>
    </w:p>
    <w:p w14:paraId="1EC112FA" w14:textId="77777777" w:rsidR="00C9551B" w:rsidRPr="00C9551B" w:rsidRDefault="00C9551B" w:rsidP="00671332">
      <w:pPr>
        <w:pStyle w:val="Heading2"/>
      </w:pPr>
      <w:r w:rsidRPr="00C9551B">
        <w:t>Quarterly Conversation Notes</w:t>
      </w:r>
    </w:p>
    <w:tbl>
      <w:tblPr>
        <w:tblW w:w="9388" w:type="dxa"/>
        <w:tblLook w:val="04A0" w:firstRow="1" w:lastRow="0" w:firstColumn="1" w:lastColumn="0" w:noHBand="0" w:noVBand="1"/>
      </w:tblPr>
      <w:tblGrid>
        <w:gridCol w:w="1103"/>
        <w:gridCol w:w="4078"/>
        <w:gridCol w:w="2097"/>
        <w:gridCol w:w="2110"/>
      </w:tblGrid>
      <w:tr w:rsidR="00E65F14" w:rsidRPr="00084CED" w14:paraId="56052A6A"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2BDAA64D" w14:textId="77777777" w:rsidR="00E65F14" w:rsidRPr="00084CED" w:rsidRDefault="00E65F14"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7E2AB3FB" w14:textId="77777777" w:rsidR="00E65F14" w:rsidRPr="00084CED" w:rsidRDefault="00E65F14"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4747A67C" w14:textId="77777777" w:rsidR="00E65F14" w:rsidRPr="00084CED" w:rsidRDefault="00E65F14"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22CAB818" w14:textId="77777777" w:rsidR="00E65F14" w:rsidRPr="00084CED" w:rsidRDefault="00E65F14"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E65F14" w:rsidRPr="00084CED" w14:paraId="0BD6E088"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1F38F91B"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67B9370E"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47820168"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617CCD25"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E65F14" w:rsidRPr="00084CED" w14:paraId="77763498"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4D707DF3"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6F9CA41F"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67513916"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207FCB3"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E65F14" w:rsidRPr="00084CED" w14:paraId="30FD0D11"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0CCC95B2"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1F97857D"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12E8CC41"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07F083CD"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p>
        </w:tc>
      </w:tr>
      <w:tr w:rsidR="00E65F14" w:rsidRPr="00084CED" w14:paraId="67D96C56"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76EB047D"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1181BE8"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04F36DB9"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09C50EE7" w14:textId="77777777" w:rsidR="00E65F14" w:rsidRPr="00084CED" w:rsidRDefault="00E65F14"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07A938F1" w14:textId="14FE53FB" w:rsidR="00E65F14" w:rsidRDefault="00E65F14">
      <w:pPr>
        <w:rPr>
          <w:sz w:val="22"/>
          <w:szCs w:val="22"/>
        </w:rPr>
      </w:pPr>
    </w:p>
    <w:p w14:paraId="34C05FAF" w14:textId="77777777" w:rsidR="00C9551B" w:rsidRPr="00C9551B" w:rsidRDefault="00C9551B" w:rsidP="00E65F14">
      <w:pPr>
        <w:pStyle w:val="Heading2"/>
      </w:pPr>
      <w:r w:rsidRPr="00C9551B">
        <w:lastRenderedPageBreak/>
        <w:t>Role Optimization</w:t>
      </w:r>
    </w:p>
    <w:tbl>
      <w:tblPr>
        <w:tblW w:w="0" w:type="auto"/>
        <w:tblCellSpacing w:w="15" w:type="dxa"/>
        <w:tblBorders>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6096"/>
        <w:gridCol w:w="1842"/>
        <w:gridCol w:w="855"/>
      </w:tblGrid>
      <w:tr w:rsidR="00C9551B" w:rsidRPr="00C9551B" w14:paraId="2430F994" w14:textId="77777777" w:rsidTr="00E117CE">
        <w:trPr>
          <w:tblHeader/>
          <w:tblCellSpacing w:w="15" w:type="dxa"/>
        </w:trPr>
        <w:tc>
          <w:tcPr>
            <w:tcW w:w="522" w:type="dxa"/>
            <w:vAlign w:val="center"/>
            <w:hideMark/>
          </w:tcPr>
          <w:p w14:paraId="53238BEC" w14:textId="77777777" w:rsidR="00C9551B" w:rsidRPr="00C9551B" w:rsidRDefault="00C9551B" w:rsidP="00C9551B">
            <w:pPr>
              <w:spacing w:before="120" w:after="120" w:line="276" w:lineRule="auto"/>
              <w:rPr>
                <w:b/>
                <w:bCs/>
                <w:sz w:val="22"/>
                <w:szCs w:val="22"/>
              </w:rPr>
            </w:pPr>
            <w:r w:rsidRPr="00C9551B">
              <w:rPr>
                <w:b/>
                <w:bCs/>
                <w:sz w:val="22"/>
                <w:szCs w:val="22"/>
              </w:rPr>
              <w:t>#</w:t>
            </w:r>
          </w:p>
        </w:tc>
        <w:tc>
          <w:tcPr>
            <w:tcW w:w="6066" w:type="dxa"/>
            <w:vAlign w:val="center"/>
            <w:hideMark/>
          </w:tcPr>
          <w:p w14:paraId="15BBC44A" w14:textId="77777777" w:rsidR="00C9551B" w:rsidRPr="00C9551B" w:rsidRDefault="00C9551B" w:rsidP="00C9551B">
            <w:pPr>
              <w:spacing w:before="120" w:after="120" w:line="276" w:lineRule="auto"/>
              <w:rPr>
                <w:b/>
                <w:bCs/>
                <w:sz w:val="22"/>
                <w:szCs w:val="22"/>
              </w:rPr>
            </w:pPr>
            <w:r w:rsidRPr="00C9551B">
              <w:rPr>
                <w:b/>
                <w:bCs/>
                <w:sz w:val="22"/>
                <w:szCs w:val="22"/>
              </w:rPr>
              <w:t>Task</w:t>
            </w:r>
          </w:p>
        </w:tc>
        <w:tc>
          <w:tcPr>
            <w:tcW w:w="1812" w:type="dxa"/>
            <w:vAlign w:val="center"/>
            <w:hideMark/>
          </w:tcPr>
          <w:p w14:paraId="5F65FF68" w14:textId="77777777" w:rsidR="00C9551B" w:rsidRPr="00C9551B" w:rsidRDefault="00C9551B" w:rsidP="00C9551B">
            <w:pPr>
              <w:spacing w:before="120" w:after="120" w:line="276" w:lineRule="auto"/>
              <w:rPr>
                <w:b/>
                <w:bCs/>
                <w:sz w:val="22"/>
                <w:szCs w:val="22"/>
              </w:rPr>
            </w:pPr>
            <w:r w:rsidRPr="00C9551B">
              <w:rPr>
                <w:b/>
                <w:bCs/>
                <w:sz w:val="22"/>
                <w:szCs w:val="22"/>
              </w:rPr>
              <w:t>Frequency</w:t>
            </w:r>
          </w:p>
        </w:tc>
        <w:tc>
          <w:tcPr>
            <w:tcW w:w="810" w:type="dxa"/>
            <w:vAlign w:val="center"/>
            <w:hideMark/>
          </w:tcPr>
          <w:p w14:paraId="67041F48" w14:textId="77777777" w:rsidR="00C9551B" w:rsidRPr="00C9551B" w:rsidRDefault="00C9551B" w:rsidP="00C9551B">
            <w:pPr>
              <w:spacing w:before="120" w:after="120" w:line="276" w:lineRule="auto"/>
              <w:rPr>
                <w:b/>
                <w:bCs/>
                <w:sz w:val="22"/>
                <w:szCs w:val="22"/>
              </w:rPr>
            </w:pPr>
            <w:r w:rsidRPr="00C9551B">
              <w:rPr>
                <w:b/>
                <w:bCs/>
                <w:sz w:val="22"/>
                <w:szCs w:val="22"/>
              </w:rPr>
              <w:t>Delegable?</w:t>
            </w:r>
          </w:p>
        </w:tc>
      </w:tr>
      <w:tr w:rsidR="00C9551B" w:rsidRPr="00C9551B" w14:paraId="2BA7FAE1" w14:textId="77777777" w:rsidTr="00E117CE">
        <w:trPr>
          <w:tblCellSpacing w:w="15" w:type="dxa"/>
        </w:trPr>
        <w:tc>
          <w:tcPr>
            <w:tcW w:w="522" w:type="dxa"/>
            <w:vAlign w:val="center"/>
            <w:hideMark/>
          </w:tcPr>
          <w:p w14:paraId="05E3763D" w14:textId="77777777" w:rsidR="00C9551B" w:rsidRPr="00C9551B" w:rsidRDefault="00C9551B" w:rsidP="00C9551B">
            <w:pPr>
              <w:spacing w:before="120" w:after="120" w:line="276" w:lineRule="auto"/>
              <w:rPr>
                <w:sz w:val="22"/>
                <w:szCs w:val="22"/>
              </w:rPr>
            </w:pPr>
            <w:r w:rsidRPr="00C9551B">
              <w:rPr>
                <w:sz w:val="22"/>
                <w:szCs w:val="22"/>
              </w:rPr>
              <w:t>1</w:t>
            </w:r>
          </w:p>
        </w:tc>
        <w:tc>
          <w:tcPr>
            <w:tcW w:w="6066" w:type="dxa"/>
            <w:vAlign w:val="center"/>
            <w:hideMark/>
          </w:tcPr>
          <w:p w14:paraId="023BC2FA" w14:textId="77777777" w:rsidR="00C9551B" w:rsidRPr="00C9551B" w:rsidRDefault="00C9551B" w:rsidP="00C9551B">
            <w:pPr>
              <w:spacing w:before="120" w:after="120" w:line="276" w:lineRule="auto"/>
              <w:rPr>
                <w:sz w:val="22"/>
                <w:szCs w:val="22"/>
              </w:rPr>
            </w:pPr>
            <w:r w:rsidRPr="00C9551B">
              <w:rPr>
                <w:sz w:val="22"/>
                <w:szCs w:val="22"/>
              </w:rPr>
              <w:t>Lead weekly revenue team meeting (pipeline review, forecast update)</w:t>
            </w:r>
          </w:p>
        </w:tc>
        <w:tc>
          <w:tcPr>
            <w:tcW w:w="1812" w:type="dxa"/>
            <w:vAlign w:val="center"/>
            <w:hideMark/>
          </w:tcPr>
          <w:p w14:paraId="49B3A8DE"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0C622166"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5CBE8C3A" w14:textId="77777777" w:rsidTr="00E117CE">
        <w:trPr>
          <w:tblCellSpacing w:w="15" w:type="dxa"/>
        </w:trPr>
        <w:tc>
          <w:tcPr>
            <w:tcW w:w="522" w:type="dxa"/>
            <w:vAlign w:val="center"/>
            <w:hideMark/>
          </w:tcPr>
          <w:p w14:paraId="665065C0" w14:textId="77777777" w:rsidR="00C9551B" w:rsidRPr="00C9551B" w:rsidRDefault="00C9551B" w:rsidP="00C9551B">
            <w:pPr>
              <w:spacing w:before="120" w:after="120" w:line="276" w:lineRule="auto"/>
              <w:rPr>
                <w:sz w:val="22"/>
                <w:szCs w:val="22"/>
              </w:rPr>
            </w:pPr>
            <w:r w:rsidRPr="00C9551B">
              <w:rPr>
                <w:sz w:val="22"/>
                <w:szCs w:val="22"/>
              </w:rPr>
              <w:t>2</w:t>
            </w:r>
          </w:p>
        </w:tc>
        <w:tc>
          <w:tcPr>
            <w:tcW w:w="6066" w:type="dxa"/>
            <w:vAlign w:val="center"/>
            <w:hideMark/>
          </w:tcPr>
          <w:p w14:paraId="355C52B0" w14:textId="77777777" w:rsidR="00C9551B" w:rsidRPr="00C9551B" w:rsidRDefault="00C9551B" w:rsidP="00C9551B">
            <w:pPr>
              <w:spacing w:before="120" w:after="120" w:line="276" w:lineRule="auto"/>
              <w:rPr>
                <w:sz w:val="22"/>
                <w:szCs w:val="22"/>
              </w:rPr>
            </w:pPr>
            <w:r w:rsidRPr="00C9551B">
              <w:rPr>
                <w:sz w:val="22"/>
                <w:szCs w:val="22"/>
              </w:rPr>
              <w:t>Review and submit organizational Scorecard revenue metrics</w:t>
            </w:r>
          </w:p>
        </w:tc>
        <w:tc>
          <w:tcPr>
            <w:tcW w:w="1812" w:type="dxa"/>
            <w:vAlign w:val="center"/>
            <w:hideMark/>
          </w:tcPr>
          <w:p w14:paraId="31DCFEE8"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062BE360"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58C0FDBA" w14:textId="77777777" w:rsidTr="00E117CE">
        <w:trPr>
          <w:tblCellSpacing w:w="15" w:type="dxa"/>
        </w:trPr>
        <w:tc>
          <w:tcPr>
            <w:tcW w:w="522" w:type="dxa"/>
            <w:vAlign w:val="center"/>
            <w:hideMark/>
          </w:tcPr>
          <w:p w14:paraId="1516694F" w14:textId="77777777" w:rsidR="00C9551B" w:rsidRPr="00C9551B" w:rsidRDefault="00C9551B" w:rsidP="00C9551B">
            <w:pPr>
              <w:spacing w:before="120" w:after="120" w:line="276" w:lineRule="auto"/>
              <w:rPr>
                <w:sz w:val="22"/>
                <w:szCs w:val="22"/>
              </w:rPr>
            </w:pPr>
            <w:r w:rsidRPr="00C9551B">
              <w:rPr>
                <w:sz w:val="22"/>
                <w:szCs w:val="22"/>
              </w:rPr>
              <w:t>3</w:t>
            </w:r>
          </w:p>
        </w:tc>
        <w:tc>
          <w:tcPr>
            <w:tcW w:w="6066" w:type="dxa"/>
            <w:vAlign w:val="center"/>
            <w:hideMark/>
          </w:tcPr>
          <w:p w14:paraId="17D2C62E" w14:textId="77777777" w:rsidR="00C9551B" w:rsidRPr="00C9551B" w:rsidRDefault="00C9551B" w:rsidP="00C9551B">
            <w:pPr>
              <w:spacing w:before="120" w:after="120" w:line="276" w:lineRule="auto"/>
              <w:rPr>
                <w:sz w:val="22"/>
                <w:szCs w:val="22"/>
              </w:rPr>
            </w:pPr>
            <w:r w:rsidRPr="00C9551B">
              <w:rPr>
                <w:sz w:val="22"/>
                <w:szCs w:val="22"/>
              </w:rPr>
              <w:t>Conduct 1:1 pipeline and coaching conversations with direct reports</w:t>
            </w:r>
          </w:p>
        </w:tc>
        <w:tc>
          <w:tcPr>
            <w:tcW w:w="1812" w:type="dxa"/>
            <w:vAlign w:val="center"/>
            <w:hideMark/>
          </w:tcPr>
          <w:p w14:paraId="0C099B52"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67984CA3"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2CAEC56C" w14:textId="77777777" w:rsidTr="00E117CE">
        <w:trPr>
          <w:tblCellSpacing w:w="15" w:type="dxa"/>
        </w:trPr>
        <w:tc>
          <w:tcPr>
            <w:tcW w:w="522" w:type="dxa"/>
            <w:vAlign w:val="center"/>
            <w:hideMark/>
          </w:tcPr>
          <w:p w14:paraId="7ED2B3B7" w14:textId="77777777" w:rsidR="00C9551B" w:rsidRPr="00C9551B" w:rsidRDefault="00C9551B" w:rsidP="00C9551B">
            <w:pPr>
              <w:spacing w:before="120" w:after="120" w:line="276" w:lineRule="auto"/>
              <w:rPr>
                <w:sz w:val="22"/>
                <w:szCs w:val="22"/>
              </w:rPr>
            </w:pPr>
            <w:r w:rsidRPr="00C9551B">
              <w:rPr>
                <w:sz w:val="22"/>
                <w:szCs w:val="22"/>
              </w:rPr>
              <w:t>4</w:t>
            </w:r>
          </w:p>
        </w:tc>
        <w:tc>
          <w:tcPr>
            <w:tcW w:w="6066" w:type="dxa"/>
            <w:vAlign w:val="center"/>
            <w:hideMark/>
          </w:tcPr>
          <w:p w14:paraId="744569F0" w14:textId="77777777" w:rsidR="00C9551B" w:rsidRPr="00C9551B" w:rsidRDefault="00C9551B" w:rsidP="00C9551B">
            <w:pPr>
              <w:spacing w:before="120" w:after="120" w:line="276" w:lineRule="auto"/>
              <w:rPr>
                <w:sz w:val="22"/>
                <w:szCs w:val="22"/>
              </w:rPr>
            </w:pPr>
            <w:r w:rsidRPr="00C9551B">
              <w:rPr>
                <w:sz w:val="22"/>
                <w:szCs w:val="22"/>
              </w:rPr>
              <w:t>Review CRM hygiene and deal-stage accuracy across the revenue team</w:t>
            </w:r>
          </w:p>
        </w:tc>
        <w:tc>
          <w:tcPr>
            <w:tcW w:w="1812" w:type="dxa"/>
            <w:vAlign w:val="center"/>
            <w:hideMark/>
          </w:tcPr>
          <w:p w14:paraId="25FE2323"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2196AE70" w14:textId="77777777" w:rsidR="00C9551B" w:rsidRPr="00C9551B" w:rsidRDefault="00C9551B" w:rsidP="00C9551B">
            <w:pPr>
              <w:spacing w:before="120" w:after="120" w:line="276" w:lineRule="auto"/>
              <w:rPr>
                <w:sz w:val="22"/>
                <w:szCs w:val="22"/>
              </w:rPr>
            </w:pPr>
            <w:r w:rsidRPr="00C9551B">
              <w:rPr>
                <w:sz w:val="22"/>
                <w:szCs w:val="22"/>
              </w:rPr>
              <w:t>Partially</w:t>
            </w:r>
          </w:p>
        </w:tc>
      </w:tr>
      <w:tr w:rsidR="00C9551B" w:rsidRPr="00C9551B" w14:paraId="7722E8D7" w14:textId="77777777" w:rsidTr="00E117CE">
        <w:trPr>
          <w:tblCellSpacing w:w="15" w:type="dxa"/>
        </w:trPr>
        <w:tc>
          <w:tcPr>
            <w:tcW w:w="522" w:type="dxa"/>
            <w:vAlign w:val="center"/>
            <w:hideMark/>
          </w:tcPr>
          <w:p w14:paraId="47D885B1" w14:textId="77777777" w:rsidR="00C9551B" w:rsidRPr="00C9551B" w:rsidRDefault="00C9551B" w:rsidP="00C9551B">
            <w:pPr>
              <w:spacing w:before="120" w:after="120" w:line="276" w:lineRule="auto"/>
              <w:rPr>
                <w:sz w:val="22"/>
                <w:szCs w:val="22"/>
              </w:rPr>
            </w:pPr>
            <w:r w:rsidRPr="00C9551B">
              <w:rPr>
                <w:sz w:val="22"/>
                <w:szCs w:val="22"/>
              </w:rPr>
              <w:t>5</w:t>
            </w:r>
          </w:p>
        </w:tc>
        <w:tc>
          <w:tcPr>
            <w:tcW w:w="6066" w:type="dxa"/>
            <w:vAlign w:val="center"/>
            <w:hideMark/>
          </w:tcPr>
          <w:p w14:paraId="588DBFC0" w14:textId="77777777" w:rsidR="00C9551B" w:rsidRPr="00C9551B" w:rsidRDefault="00C9551B" w:rsidP="00C9551B">
            <w:pPr>
              <w:spacing w:before="120" w:after="120" w:line="276" w:lineRule="auto"/>
              <w:rPr>
                <w:sz w:val="22"/>
                <w:szCs w:val="22"/>
              </w:rPr>
            </w:pPr>
            <w:r w:rsidRPr="00C9551B">
              <w:rPr>
                <w:sz w:val="22"/>
                <w:szCs w:val="22"/>
              </w:rPr>
              <w:t>Manage channel conflict decisions (direct vs. reseller vs. institutional)</w:t>
            </w:r>
          </w:p>
        </w:tc>
        <w:tc>
          <w:tcPr>
            <w:tcW w:w="1812" w:type="dxa"/>
            <w:vAlign w:val="center"/>
            <w:hideMark/>
          </w:tcPr>
          <w:p w14:paraId="51020A88" w14:textId="77777777" w:rsidR="00C9551B" w:rsidRPr="00C9551B" w:rsidRDefault="00C9551B" w:rsidP="00C9551B">
            <w:pPr>
              <w:spacing w:before="120" w:after="120" w:line="276" w:lineRule="auto"/>
              <w:rPr>
                <w:sz w:val="22"/>
                <w:szCs w:val="22"/>
              </w:rPr>
            </w:pPr>
            <w:r w:rsidRPr="00C9551B">
              <w:rPr>
                <w:sz w:val="22"/>
                <w:szCs w:val="22"/>
              </w:rPr>
              <w:t>As needed</w:t>
            </w:r>
          </w:p>
        </w:tc>
        <w:tc>
          <w:tcPr>
            <w:tcW w:w="810" w:type="dxa"/>
            <w:vAlign w:val="center"/>
            <w:hideMark/>
          </w:tcPr>
          <w:p w14:paraId="565ADED1"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337D370C" w14:textId="77777777" w:rsidTr="00E117CE">
        <w:trPr>
          <w:tblCellSpacing w:w="15" w:type="dxa"/>
        </w:trPr>
        <w:tc>
          <w:tcPr>
            <w:tcW w:w="522" w:type="dxa"/>
            <w:vAlign w:val="center"/>
            <w:hideMark/>
          </w:tcPr>
          <w:p w14:paraId="114B760C" w14:textId="77777777" w:rsidR="00C9551B" w:rsidRPr="00C9551B" w:rsidRDefault="00C9551B" w:rsidP="00C9551B">
            <w:pPr>
              <w:spacing w:before="120" w:after="120" w:line="276" w:lineRule="auto"/>
              <w:rPr>
                <w:sz w:val="22"/>
                <w:szCs w:val="22"/>
              </w:rPr>
            </w:pPr>
            <w:r w:rsidRPr="00C9551B">
              <w:rPr>
                <w:sz w:val="22"/>
                <w:szCs w:val="22"/>
              </w:rPr>
              <w:t>6</w:t>
            </w:r>
          </w:p>
        </w:tc>
        <w:tc>
          <w:tcPr>
            <w:tcW w:w="6066" w:type="dxa"/>
            <w:vAlign w:val="center"/>
            <w:hideMark/>
          </w:tcPr>
          <w:p w14:paraId="16FC5A3E" w14:textId="31F4228F" w:rsidR="00C9551B" w:rsidRPr="00C9551B" w:rsidRDefault="00066A38" w:rsidP="00C9551B">
            <w:pPr>
              <w:spacing w:before="120" w:after="120" w:line="276" w:lineRule="auto"/>
              <w:rPr>
                <w:sz w:val="22"/>
                <w:szCs w:val="22"/>
              </w:rPr>
            </w:pPr>
            <w:r w:rsidRPr="00066A38">
              <w:rPr>
                <w:sz w:val="22"/>
                <w:szCs w:val="22"/>
              </w:rPr>
              <w:t>Align with Head of Demand on lead quality, pipeline handoff standards, and revenue system performance</w:t>
            </w:r>
          </w:p>
        </w:tc>
        <w:tc>
          <w:tcPr>
            <w:tcW w:w="1812" w:type="dxa"/>
            <w:vAlign w:val="center"/>
            <w:hideMark/>
          </w:tcPr>
          <w:p w14:paraId="6A1EB29F"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36B75D25"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49E941B7" w14:textId="77777777" w:rsidTr="00E117CE">
        <w:trPr>
          <w:tblCellSpacing w:w="15" w:type="dxa"/>
        </w:trPr>
        <w:tc>
          <w:tcPr>
            <w:tcW w:w="522" w:type="dxa"/>
            <w:vAlign w:val="center"/>
            <w:hideMark/>
          </w:tcPr>
          <w:p w14:paraId="65B5A2B2" w14:textId="77777777" w:rsidR="00C9551B" w:rsidRPr="00C9551B" w:rsidRDefault="00C9551B" w:rsidP="00C9551B">
            <w:pPr>
              <w:spacing w:before="120" w:after="120" w:line="276" w:lineRule="auto"/>
              <w:rPr>
                <w:sz w:val="22"/>
                <w:szCs w:val="22"/>
              </w:rPr>
            </w:pPr>
            <w:r w:rsidRPr="00C9551B">
              <w:rPr>
                <w:sz w:val="22"/>
                <w:szCs w:val="22"/>
              </w:rPr>
              <w:t>7</w:t>
            </w:r>
          </w:p>
        </w:tc>
        <w:tc>
          <w:tcPr>
            <w:tcW w:w="6066" w:type="dxa"/>
            <w:vAlign w:val="center"/>
            <w:hideMark/>
          </w:tcPr>
          <w:p w14:paraId="042F709E" w14:textId="77777777" w:rsidR="00C9551B" w:rsidRPr="00C9551B" w:rsidRDefault="00C9551B" w:rsidP="00C9551B">
            <w:pPr>
              <w:spacing w:before="120" w:after="120" w:line="276" w:lineRule="auto"/>
              <w:rPr>
                <w:sz w:val="22"/>
                <w:szCs w:val="22"/>
              </w:rPr>
            </w:pPr>
            <w:r w:rsidRPr="00C9551B">
              <w:rPr>
                <w:sz w:val="22"/>
                <w:szCs w:val="22"/>
              </w:rPr>
              <w:t>Build and submit quarterly forecast to President &amp; COO</w:t>
            </w:r>
          </w:p>
        </w:tc>
        <w:tc>
          <w:tcPr>
            <w:tcW w:w="1812" w:type="dxa"/>
            <w:vAlign w:val="center"/>
            <w:hideMark/>
          </w:tcPr>
          <w:p w14:paraId="2B000ABB" w14:textId="77777777" w:rsidR="00C9551B" w:rsidRPr="00C9551B" w:rsidRDefault="00C9551B" w:rsidP="00C9551B">
            <w:pPr>
              <w:spacing w:before="120" w:after="120" w:line="276" w:lineRule="auto"/>
              <w:rPr>
                <w:sz w:val="22"/>
                <w:szCs w:val="22"/>
              </w:rPr>
            </w:pPr>
            <w:r w:rsidRPr="00C9551B">
              <w:rPr>
                <w:sz w:val="22"/>
                <w:szCs w:val="22"/>
              </w:rPr>
              <w:t>Weekly (updated)</w:t>
            </w:r>
          </w:p>
        </w:tc>
        <w:tc>
          <w:tcPr>
            <w:tcW w:w="810" w:type="dxa"/>
            <w:vAlign w:val="center"/>
            <w:hideMark/>
          </w:tcPr>
          <w:p w14:paraId="3BA87DA7"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2B214C17" w14:textId="77777777" w:rsidTr="00E117CE">
        <w:trPr>
          <w:tblCellSpacing w:w="15" w:type="dxa"/>
        </w:trPr>
        <w:tc>
          <w:tcPr>
            <w:tcW w:w="522" w:type="dxa"/>
            <w:vAlign w:val="center"/>
            <w:hideMark/>
          </w:tcPr>
          <w:p w14:paraId="148ADF5A" w14:textId="77777777" w:rsidR="00C9551B" w:rsidRPr="00C9551B" w:rsidRDefault="00C9551B" w:rsidP="00C9551B">
            <w:pPr>
              <w:spacing w:before="120" w:after="120" w:line="276" w:lineRule="auto"/>
              <w:rPr>
                <w:sz w:val="22"/>
                <w:szCs w:val="22"/>
              </w:rPr>
            </w:pPr>
            <w:r w:rsidRPr="00C9551B">
              <w:rPr>
                <w:sz w:val="22"/>
                <w:szCs w:val="22"/>
              </w:rPr>
              <w:t>8</w:t>
            </w:r>
          </w:p>
        </w:tc>
        <w:tc>
          <w:tcPr>
            <w:tcW w:w="6066" w:type="dxa"/>
            <w:vAlign w:val="center"/>
            <w:hideMark/>
          </w:tcPr>
          <w:p w14:paraId="2EA73951" w14:textId="77777777" w:rsidR="00C9551B" w:rsidRPr="00C9551B" w:rsidRDefault="00C9551B" w:rsidP="00C9551B">
            <w:pPr>
              <w:spacing w:before="120" w:after="120" w:line="276" w:lineRule="auto"/>
              <w:rPr>
                <w:sz w:val="22"/>
                <w:szCs w:val="22"/>
              </w:rPr>
            </w:pPr>
            <w:r w:rsidRPr="00C9551B">
              <w:rPr>
                <w:sz w:val="22"/>
                <w:szCs w:val="22"/>
              </w:rPr>
              <w:t>Review and approve major proposals, pricing exceptions, and partner agreements</w:t>
            </w:r>
          </w:p>
        </w:tc>
        <w:tc>
          <w:tcPr>
            <w:tcW w:w="1812" w:type="dxa"/>
            <w:vAlign w:val="center"/>
            <w:hideMark/>
          </w:tcPr>
          <w:p w14:paraId="604EA60D" w14:textId="77777777" w:rsidR="00C9551B" w:rsidRPr="00C9551B" w:rsidRDefault="00C9551B" w:rsidP="00C9551B">
            <w:pPr>
              <w:spacing w:before="120" w:after="120" w:line="276" w:lineRule="auto"/>
              <w:rPr>
                <w:sz w:val="22"/>
                <w:szCs w:val="22"/>
              </w:rPr>
            </w:pPr>
            <w:r w:rsidRPr="00C9551B">
              <w:rPr>
                <w:sz w:val="22"/>
                <w:szCs w:val="22"/>
              </w:rPr>
              <w:t>As needed</w:t>
            </w:r>
          </w:p>
        </w:tc>
        <w:tc>
          <w:tcPr>
            <w:tcW w:w="810" w:type="dxa"/>
            <w:vAlign w:val="center"/>
            <w:hideMark/>
          </w:tcPr>
          <w:p w14:paraId="44452175" w14:textId="77777777" w:rsidR="00C9551B" w:rsidRPr="00C9551B" w:rsidRDefault="00C9551B" w:rsidP="00C9551B">
            <w:pPr>
              <w:spacing w:before="120" w:after="120" w:line="276" w:lineRule="auto"/>
              <w:rPr>
                <w:sz w:val="22"/>
                <w:szCs w:val="22"/>
              </w:rPr>
            </w:pPr>
            <w:r w:rsidRPr="00C9551B">
              <w:rPr>
                <w:sz w:val="22"/>
                <w:szCs w:val="22"/>
              </w:rPr>
              <w:t>Partially</w:t>
            </w:r>
          </w:p>
        </w:tc>
      </w:tr>
      <w:tr w:rsidR="00C9551B" w:rsidRPr="00C9551B" w14:paraId="446F8E64" w14:textId="77777777" w:rsidTr="00E117CE">
        <w:trPr>
          <w:tblCellSpacing w:w="15" w:type="dxa"/>
        </w:trPr>
        <w:tc>
          <w:tcPr>
            <w:tcW w:w="522" w:type="dxa"/>
            <w:vAlign w:val="center"/>
            <w:hideMark/>
          </w:tcPr>
          <w:p w14:paraId="3770C5E1" w14:textId="77777777" w:rsidR="00C9551B" w:rsidRPr="00C9551B" w:rsidRDefault="00C9551B" w:rsidP="00C9551B">
            <w:pPr>
              <w:spacing w:before="120" w:after="120" w:line="276" w:lineRule="auto"/>
              <w:rPr>
                <w:sz w:val="22"/>
                <w:szCs w:val="22"/>
              </w:rPr>
            </w:pPr>
            <w:r w:rsidRPr="00C9551B">
              <w:rPr>
                <w:sz w:val="22"/>
                <w:szCs w:val="22"/>
              </w:rPr>
              <w:t>9</w:t>
            </w:r>
          </w:p>
        </w:tc>
        <w:tc>
          <w:tcPr>
            <w:tcW w:w="6066" w:type="dxa"/>
            <w:vAlign w:val="center"/>
            <w:hideMark/>
          </w:tcPr>
          <w:p w14:paraId="7C641310" w14:textId="77777777" w:rsidR="00C9551B" w:rsidRPr="00C9551B" w:rsidRDefault="00C9551B" w:rsidP="00C9551B">
            <w:pPr>
              <w:spacing w:before="120" w:after="120" w:line="276" w:lineRule="auto"/>
              <w:rPr>
                <w:sz w:val="22"/>
                <w:szCs w:val="22"/>
              </w:rPr>
            </w:pPr>
            <w:r w:rsidRPr="00C9551B">
              <w:rPr>
                <w:sz w:val="22"/>
                <w:szCs w:val="22"/>
              </w:rPr>
              <w:t>Conduct quarterly People Analyzer conversations with all direct reports</w:t>
            </w:r>
          </w:p>
        </w:tc>
        <w:tc>
          <w:tcPr>
            <w:tcW w:w="1812" w:type="dxa"/>
            <w:vAlign w:val="center"/>
            <w:hideMark/>
          </w:tcPr>
          <w:p w14:paraId="263C5436" w14:textId="77777777" w:rsidR="00C9551B" w:rsidRPr="00C9551B" w:rsidRDefault="00C9551B" w:rsidP="00C9551B">
            <w:pPr>
              <w:spacing w:before="120" w:after="120" w:line="276" w:lineRule="auto"/>
              <w:rPr>
                <w:sz w:val="22"/>
                <w:szCs w:val="22"/>
              </w:rPr>
            </w:pPr>
            <w:r w:rsidRPr="00C9551B">
              <w:rPr>
                <w:sz w:val="22"/>
                <w:szCs w:val="22"/>
              </w:rPr>
              <w:t>Quarterly</w:t>
            </w:r>
          </w:p>
        </w:tc>
        <w:tc>
          <w:tcPr>
            <w:tcW w:w="810" w:type="dxa"/>
            <w:vAlign w:val="center"/>
            <w:hideMark/>
          </w:tcPr>
          <w:p w14:paraId="737757C8"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6CDE023E" w14:textId="77777777" w:rsidTr="00E117CE">
        <w:trPr>
          <w:tblCellSpacing w:w="15" w:type="dxa"/>
        </w:trPr>
        <w:tc>
          <w:tcPr>
            <w:tcW w:w="522" w:type="dxa"/>
            <w:vAlign w:val="center"/>
            <w:hideMark/>
          </w:tcPr>
          <w:p w14:paraId="06B65A30" w14:textId="77777777" w:rsidR="00C9551B" w:rsidRPr="00C9551B" w:rsidRDefault="00C9551B" w:rsidP="00C9551B">
            <w:pPr>
              <w:spacing w:before="120" w:after="120" w:line="276" w:lineRule="auto"/>
              <w:rPr>
                <w:sz w:val="22"/>
                <w:szCs w:val="22"/>
              </w:rPr>
            </w:pPr>
            <w:r w:rsidRPr="00C9551B">
              <w:rPr>
                <w:sz w:val="22"/>
                <w:szCs w:val="22"/>
              </w:rPr>
              <w:t>10</w:t>
            </w:r>
          </w:p>
        </w:tc>
        <w:tc>
          <w:tcPr>
            <w:tcW w:w="6066" w:type="dxa"/>
            <w:vAlign w:val="center"/>
            <w:hideMark/>
          </w:tcPr>
          <w:p w14:paraId="1CAE9E55" w14:textId="77777777" w:rsidR="00C9551B" w:rsidRPr="00C9551B" w:rsidRDefault="00C9551B" w:rsidP="00C9551B">
            <w:pPr>
              <w:spacing w:before="120" w:after="120" w:line="276" w:lineRule="auto"/>
              <w:rPr>
                <w:sz w:val="22"/>
                <w:szCs w:val="22"/>
              </w:rPr>
            </w:pPr>
            <w:r w:rsidRPr="00C9551B">
              <w:rPr>
                <w:sz w:val="22"/>
                <w:szCs w:val="22"/>
              </w:rPr>
              <w:t>Set and own quarterly Rocks for the revenue function</w:t>
            </w:r>
          </w:p>
        </w:tc>
        <w:tc>
          <w:tcPr>
            <w:tcW w:w="1812" w:type="dxa"/>
            <w:vAlign w:val="center"/>
            <w:hideMark/>
          </w:tcPr>
          <w:p w14:paraId="71FCF3E0" w14:textId="77777777" w:rsidR="00C9551B" w:rsidRPr="00C9551B" w:rsidRDefault="00C9551B" w:rsidP="00C9551B">
            <w:pPr>
              <w:spacing w:before="120" w:after="120" w:line="276" w:lineRule="auto"/>
              <w:rPr>
                <w:sz w:val="22"/>
                <w:szCs w:val="22"/>
              </w:rPr>
            </w:pPr>
            <w:r w:rsidRPr="00C9551B">
              <w:rPr>
                <w:sz w:val="22"/>
                <w:szCs w:val="22"/>
              </w:rPr>
              <w:t>Quarterly</w:t>
            </w:r>
          </w:p>
        </w:tc>
        <w:tc>
          <w:tcPr>
            <w:tcW w:w="810" w:type="dxa"/>
            <w:vAlign w:val="center"/>
            <w:hideMark/>
          </w:tcPr>
          <w:p w14:paraId="1024BFC7"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070C9BFC" w14:textId="77777777" w:rsidTr="00E117CE">
        <w:trPr>
          <w:tblCellSpacing w:w="15" w:type="dxa"/>
        </w:trPr>
        <w:tc>
          <w:tcPr>
            <w:tcW w:w="522" w:type="dxa"/>
            <w:vAlign w:val="center"/>
            <w:hideMark/>
          </w:tcPr>
          <w:p w14:paraId="1C08F345" w14:textId="77777777" w:rsidR="00C9551B" w:rsidRPr="00C9551B" w:rsidRDefault="00C9551B" w:rsidP="00C9551B">
            <w:pPr>
              <w:spacing w:before="120" w:after="120" w:line="276" w:lineRule="auto"/>
              <w:rPr>
                <w:sz w:val="22"/>
                <w:szCs w:val="22"/>
              </w:rPr>
            </w:pPr>
            <w:r w:rsidRPr="00C9551B">
              <w:rPr>
                <w:sz w:val="22"/>
                <w:szCs w:val="22"/>
              </w:rPr>
              <w:t>11</w:t>
            </w:r>
          </w:p>
        </w:tc>
        <w:tc>
          <w:tcPr>
            <w:tcW w:w="6066" w:type="dxa"/>
            <w:vAlign w:val="center"/>
            <w:hideMark/>
          </w:tcPr>
          <w:p w14:paraId="1E696387" w14:textId="77777777" w:rsidR="00C9551B" w:rsidRPr="00C9551B" w:rsidRDefault="00C9551B" w:rsidP="00C9551B">
            <w:pPr>
              <w:spacing w:before="120" w:after="120" w:line="276" w:lineRule="auto"/>
              <w:rPr>
                <w:sz w:val="22"/>
                <w:szCs w:val="22"/>
              </w:rPr>
            </w:pPr>
            <w:r w:rsidRPr="00C9551B">
              <w:rPr>
                <w:sz w:val="22"/>
                <w:szCs w:val="22"/>
              </w:rPr>
              <w:t>Report on revenue performance and strategic initiatives at leadership L10</w:t>
            </w:r>
          </w:p>
        </w:tc>
        <w:tc>
          <w:tcPr>
            <w:tcW w:w="1812" w:type="dxa"/>
            <w:vAlign w:val="center"/>
            <w:hideMark/>
          </w:tcPr>
          <w:p w14:paraId="4C1BF421" w14:textId="77777777" w:rsidR="00C9551B" w:rsidRPr="00C9551B" w:rsidRDefault="00C9551B" w:rsidP="00C9551B">
            <w:pPr>
              <w:spacing w:before="120" w:after="120" w:line="276" w:lineRule="auto"/>
              <w:rPr>
                <w:sz w:val="22"/>
                <w:szCs w:val="22"/>
              </w:rPr>
            </w:pPr>
            <w:r w:rsidRPr="00C9551B">
              <w:rPr>
                <w:sz w:val="22"/>
                <w:szCs w:val="22"/>
              </w:rPr>
              <w:t>Weekly</w:t>
            </w:r>
          </w:p>
        </w:tc>
        <w:tc>
          <w:tcPr>
            <w:tcW w:w="810" w:type="dxa"/>
            <w:vAlign w:val="center"/>
            <w:hideMark/>
          </w:tcPr>
          <w:p w14:paraId="677177C5"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7081A430" w14:textId="77777777" w:rsidTr="00E117CE">
        <w:trPr>
          <w:tblCellSpacing w:w="15" w:type="dxa"/>
        </w:trPr>
        <w:tc>
          <w:tcPr>
            <w:tcW w:w="522" w:type="dxa"/>
            <w:vAlign w:val="center"/>
            <w:hideMark/>
          </w:tcPr>
          <w:p w14:paraId="09C8B6BE" w14:textId="77777777" w:rsidR="00C9551B" w:rsidRPr="00C9551B" w:rsidRDefault="00C9551B" w:rsidP="00C9551B">
            <w:pPr>
              <w:spacing w:before="120" w:after="120" w:line="276" w:lineRule="auto"/>
              <w:rPr>
                <w:sz w:val="22"/>
                <w:szCs w:val="22"/>
              </w:rPr>
            </w:pPr>
            <w:r w:rsidRPr="00C9551B">
              <w:rPr>
                <w:sz w:val="22"/>
                <w:szCs w:val="22"/>
              </w:rPr>
              <w:t>12</w:t>
            </w:r>
          </w:p>
        </w:tc>
        <w:tc>
          <w:tcPr>
            <w:tcW w:w="6066" w:type="dxa"/>
            <w:vAlign w:val="center"/>
            <w:hideMark/>
          </w:tcPr>
          <w:p w14:paraId="7417403B" w14:textId="77777777" w:rsidR="00C9551B" w:rsidRPr="00C9551B" w:rsidRDefault="00C9551B" w:rsidP="00C9551B">
            <w:pPr>
              <w:spacing w:before="120" w:after="120" w:line="276" w:lineRule="auto"/>
              <w:rPr>
                <w:sz w:val="22"/>
                <w:szCs w:val="22"/>
              </w:rPr>
            </w:pPr>
            <w:r w:rsidRPr="00C9551B">
              <w:rPr>
                <w:sz w:val="22"/>
                <w:szCs w:val="22"/>
              </w:rPr>
              <w:t>Manage partner and institutional relationships at the VP level</w:t>
            </w:r>
          </w:p>
        </w:tc>
        <w:tc>
          <w:tcPr>
            <w:tcW w:w="1812" w:type="dxa"/>
            <w:vAlign w:val="center"/>
            <w:hideMark/>
          </w:tcPr>
          <w:p w14:paraId="3B0813E4" w14:textId="77777777" w:rsidR="00C9551B" w:rsidRPr="00C9551B" w:rsidRDefault="00C9551B" w:rsidP="00C9551B">
            <w:pPr>
              <w:spacing w:before="120" w:after="120" w:line="276" w:lineRule="auto"/>
              <w:rPr>
                <w:sz w:val="22"/>
                <w:szCs w:val="22"/>
              </w:rPr>
            </w:pPr>
            <w:r w:rsidRPr="00C9551B">
              <w:rPr>
                <w:sz w:val="22"/>
                <w:szCs w:val="22"/>
              </w:rPr>
              <w:t>Ongoing</w:t>
            </w:r>
          </w:p>
        </w:tc>
        <w:tc>
          <w:tcPr>
            <w:tcW w:w="810" w:type="dxa"/>
            <w:vAlign w:val="center"/>
            <w:hideMark/>
          </w:tcPr>
          <w:p w14:paraId="3FEFE06E" w14:textId="77777777" w:rsidR="00C9551B" w:rsidRPr="00C9551B" w:rsidRDefault="00C9551B" w:rsidP="00C9551B">
            <w:pPr>
              <w:spacing w:before="120" w:after="120" w:line="276" w:lineRule="auto"/>
              <w:rPr>
                <w:sz w:val="22"/>
                <w:szCs w:val="22"/>
              </w:rPr>
            </w:pPr>
            <w:r w:rsidRPr="00C9551B">
              <w:rPr>
                <w:sz w:val="22"/>
                <w:szCs w:val="22"/>
              </w:rPr>
              <w:t>Partially</w:t>
            </w:r>
          </w:p>
        </w:tc>
      </w:tr>
      <w:tr w:rsidR="00C9551B" w:rsidRPr="00C9551B" w14:paraId="72B6B4FA" w14:textId="77777777" w:rsidTr="00E117CE">
        <w:trPr>
          <w:tblCellSpacing w:w="15" w:type="dxa"/>
        </w:trPr>
        <w:tc>
          <w:tcPr>
            <w:tcW w:w="522" w:type="dxa"/>
            <w:vAlign w:val="center"/>
            <w:hideMark/>
          </w:tcPr>
          <w:p w14:paraId="3884C989" w14:textId="77777777" w:rsidR="00C9551B" w:rsidRPr="00C9551B" w:rsidRDefault="00C9551B" w:rsidP="00C9551B">
            <w:pPr>
              <w:spacing w:before="120" w:after="120" w:line="276" w:lineRule="auto"/>
              <w:rPr>
                <w:sz w:val="22"/>
                <w:szCs w:val="22"/>
              </w:rPr>
            </w:pPr>
            <w:r w:rsidRPr="00C9551B">
              <w:rPr>
                <w:sz w:val="22"/>
                <w:szCs w:val="22"/>
              </w:rPr>
              <w:t>13</w:t>
            </w:r>
          </w:p>
        </w:tc>
        <w:tc>
          <w:tcPr>
            <w:tcW w:w="6066" w:type="dxa"/>
            <w:vAlign w:val="center"/>
            <w:hideMark/>
          </w:tcPr>
          <w:p w14:paraId="59346F99" w14:textId="77777777" w:rsidR="00C9551B" w:rsidRPr="00C9551B" w:rsidRDefault="00C9551B" w:rsidP="00C9551B">
            <w:pPr>
              <w:spacing w:before="120" w:after="120" w:line="276" w:lineRule="auto"/>
              <w:rPr>
                <w:sz w:val="22"/>
                <w:szCs w:val="22"/>
              </w:rPr>
            </w:pPr>
            <w:r w:rsidRPr="00C9551B">
              <w:rPr>
                <w:sz w:val="22"/>
                <w:szCs w:val="22"/>
              </w:rPr>
              <w:t>Review and improve sales process, playbooks, and onboarding for new reps</w:t>
            </w:r>
          </w:p>
        </w:tc>
        <w:tc>
          <w:tcPr>
            <w:tcW w:w="1812" w:type="dxa"/>
            <w:vAlign w:val="center"/>
            <w:hideMark/>
          </w:tcPr>
          <w:p w14:paraId="4BAA30D3" w14:textId="77777777" w:rsidR="00C9551B" w:rsidRPr="00C9551B" w:rsidRDefault="00C9551B" w:rsidP="00C9551B">
            <w:pPr>
              <w:spacing w:before="120" w:after="120" w:line="276" w:lineRule="auto"/>
              <w:rPr>
                <w:sz w:val="22"/>
                <w:szCs w:val="22"/>
              </w:rPr>
            </w:pPr>
            <w:r w:rsidRPr="00C9551B">
              <w:rPr>
                <w:sz w:val="22"/>
                <w:szCs w:val="22"/>
              </w:rPr>
              <w:t>Quarterly</w:t>
            </w:r>
          </w:p>
        </w:tc>
        <w:tc>
          <w:tcPr>
            <w:tcW w:w="810" w:type="dxa"/>
            <w:vAlign w:val="center"/>
            <w:hideMark/>
          </w:tcPr>
          <w:p w14:paraId="5B1FEC3D" w14:textId="77777777" w:rsidR="00C9551B" w:rsidRPr="00C9551B" w:rsidRDefault="00C9551B" w:rsidP="00C9551B">
            <w:pPr>
              <w:spacing w:before="120" w:after="120" w:line="276" w:lineRule="auto"/>
              <w:rPr>
                <w:sz w:val="22"/>
                <w:szCs w:val="22"/>
              </w:rPr>
            </w:pPr>
            <w:r w:rsidRPr="00C9551B">
              <w:rPr>
                <w:sz w:val="22"/>
                <w:szCs w:val="22"/>
              </w:rPr>
              <w:t>Partially</w:t>
            </w:r>
          </w:p>
        </w:tc>
      </w:tr>
      <w:tr w:rsidR="00C9551B" w:rsidRPr="00C9551B" w14:paraId="3DA6F47A" w14:textId="77777777" w:rsidTr="00E117CE">
        <w:trPr>
          <w:tblCellSpacing w:w="15" w:type="dxa"/>
        </w:trPr>
        <w:tc>
          <w:tcPr>
            <w:tcW w:w="522" w:type="dxa"/>
            <w:vAlign w:val="center"/>
            <w:hideMark/>
          </w:tcPr>
          <w:p w14:paraId="6649CC56" w14:textId="77777777" w:rsidR="00C9551B" w:rsidRPr="00C9551B" w:rsidRDefault="00C9551B" w:rsidP="00C9551B">
            <w:pPr>
              <w:spacing w:before="120" w:after="120" w:line="276" w:lineRule="auto"/>
              <w:rPr>
                <w:sz w:val="22"/>
                <w:szCs w:val="22"/>
              </w:rPr>
            </w:pPr>
            <w:r w:rsidRPr="00C9551B">
              <w:rPr>
                <w:sz w:val="22"/>
                <w:szCs w:val="22"/>
              </w:rPr>
              <w:t>14</w:t>
            </w:r>
          </w:p>
        </w:tc>
        <w:tc>
          <w:tcPr>
            <w:tcW w:w="6066" w:type="dxa"/>
            <w:vAlign w:val="center"/>
            <w:hideMark/>
          </w:tcPr>
          <w:p w14:paraId="3830E046" w14:textId="2F1C075D" w:rsidR="00C9551B" w:rsidRPr="00C9551B" w:rsidRDefault="00A924AB" w:rsidP="00C9551B">
            <w:pPr>
              <w:spacing w:before="120" w:after="120" w:line="276" w:lineRule="auto"/>
              <w:rPr>
                <w:sz w:val="22"/>
                <w:szCs w:val="22"/>
              </w:rPr>
            </w:pPr>
            <w:r w:rsidRPr="00A924AB">
              <w:rPr>
                <w:sz w:val="22"/>
                <w:szCs w:val="22"/>
              </w:rPr>
              <w:t>Coordinate revenue commitments with Head of Delivery for customer handoff and expansion visibility</w:t>
            </w:r>
          </w:p>
        </w:tc>
        <w:tc>
          <w:tcPr>
            <w:tcW w:w="1812" w:type="dxa"/>
            <w:vAlign w:val="center"/>
            <w:hideMark/>
          </w:tcPr>
          <w:p w14:paraId="4618BFE3" w14:textId="77777777" w:rsidR="00C9551B" w:rsidRPr="00C9551B" w:rsidRDefault="00C9551B" w:rsidP="00C9551B">
            <w:pPr>
              <w:spacing w:before="120" w:after="120" w:line="276" w:lineRule="auto"/>
              <w:rPr>
                <w:sz w:val="22"/>
                <w:szCs w:val="22"/>
              </w:rPr>
            </w:pPr>
            <w:r w:rsidRPr="00C9551B">
              <w:rPr>
                <w:sz w:val="22"/>
                <w:szCs w:val="22"/>
              </w:rPr>
              <w:t>As needed</w:t>
            </w:r>
          </w:p>
        </w:tc>
        <w:tc>
          <w:tcPr>
            <w:tcW w:w="810" w:type="dxa"/>
            <w:vAlign w:val="center"/>
            <w:hideMark/>
          </w:tcPr>
          <w:p w14:paraId="3E8634DE" w14:textId="77777777" w:rsidR="00C9551B" w:rsidRPr="00C9551B" w:rsidRDefault="00C9551B" w:rsidP="00C9551B">
            <w:pPr>
              <w:spacing w:before="120" w:after="120" w:line="276" w:lineRule="auto"/>
              <w:rPr>
                <w:sz w:val="22"/>
                <w:szCs w:val="22"/>
              </w:rPr>
            </w:pPr>
            <w:r w:rsidRPr="00C9551B">
              <w:rPr>
                <w:sz w:val="22"/>
                <w:szCs w:val="22"/>
              </w:rPr>
              <w:t>No</w:t>
            </w:r>
          </w:p>
        </w:tc>
      </w:tr>
      <w:tr w:rsidR="00C9551B" w:rsidRPr="00C9551B" w14:paraId="22102F3A" w14:textId="77777777" w:rsidTr="00E117CE">
        <w:trPr>
          <w:tblCellSpacing w:w="15" w:type="dxa"/>
        </w:trPr>
        <w:tc>
          <w:tcPr>
            <w:tcW w:w="522" w:type="dxa"/>
            <w:vAlign w:val="center"/>
            <w:hideMark/>
          </w:tcPr>
          <w:p w14:paraId="48FDBF44" w14:textId="77777777" w:rsidR="00C9551B" w:rsidRPr="00C9551B" w:rsidRDefault="00C9551B" w:rsidP="00C9551B">
            <w:pPr>
              <w:spacing w:before="120" w:after="120" w:line="276" w:lineRule="auto"/>
              <w:rPr>
                <w:sz w:val="22"/>
                <w:szCs w:val="22"/>
              </w:rPr>
            </w:pPr>
            <w:r w:rsidRPr="00C9551B">
              <w:rPr>
                <w:sz w:val="22"/>
                <w:szCs w:val="22"/>
              </w:rPr>
              <w:t>15</w:t>
            </w:r>
          </w:p>
        </w:tc>
        <w:tc>
          <w:tcPr>
            <w:tcW w:w="6066" w:type="dxa"/>
            <w:vAlign w:val="center"/>
            <w:hideMark/>
          </w:tcPr>
          <w:p w14:paraId="499F7077" w14:textId="77777777" w:rsidR="00C9551B" w:rsidRPr="00C9551B" w:rsidRDefault="00C9551B" w:rsidP="00C9551B">
            <w:pPr>
              <w:spacing w:before="120" w:after="120" w:line="276" w:lineRule="auto"/>
              <w:rPr>
                <w:sz w:val="22"/>
                <w:szCs w:val="22"/>
              </w:rPr>
            </w:pPr>
            <w:r w:rsidRPr="00C9551B">
              <w:rPr>
                <w:sz w:val="22"/>
                <w:szCs w:val="22"/>
              </w:rPr>
              <w:t>Own annual revenue planning and target-setting process with President &amp; COO</w:t>
            </w:r>
          </w:p>
        </w:tc>
        <w:tc>
          <w:tcPr>
            <w:tcW w:w="1812" w:type="dxa"/>
            <w:vAlign w:val="center"/>
            <w:hideMark/>
          </w:tcPr>
          <w:p w14:paraId="04AA5A21" w14:textId="77777777" w:rsidR="00C9551B" w:rsidRPr="00C9551B" w:rsidRDefault="00C9551B" w:rsidP="00C9551B">
            <w:pPr>
              <w:spacing w:before="120" w:after="120" w:line="276" w:lineRule="auto"/>
              <w:rPr>
                <w:sz w:val="22"/>
                <w:szCs w:val="22"/>
              </w:rPr>
            </w:pPr>
            <w:r w:rsidRPr="00C9551B">
              <w:rPr>
                <w:sz w:val="22"/>
                <w:szCs w:val="22"/>
              </w:rPr>
              <w:t>Annually</w:t>
            </w:r>
          </w:p>
        </w:tc>
        <w:tc>
          <w:tcPr>
            <w:tcW w:w="810" w:type="dxa"/>
            <w:vAlign w:val="center"/>
            <w:hideMark/>
          </w:tcPr>
          <w:p w14:paraId="16504FC0" w14:textId="77777777" w:rsidR="00C9551B" w:rsidRPr="00C9551B" w:rsidRDefault="00C9551B" w:rsidP="00C9551B">
            <w:pPr>
              <w:spacing w:before="120" w:after="120" w:line="276" w:lineRule="auto"/>
              <w:rPr>
                <w:sz w:val="22"/>
                <w:szCs w:val="22"/>
              </w:rPr>
            </w:pPr>
            <w:r w:rsidRPr="00C9551B">
              <w:rPr>
                <w:sz w:val="22"/>
                <w:szCs w:val="22"/>
              </w:rPr>
              <w:t>No</w:t>
            </w:r>
          </w:p>
        </w:tc>
      </w:tr>
      <w:tr w:rsidR="00FF5131" w:rsidRPr="00C9551B" w14:paraId="6FA5B03A" w14:textId="77777777" w:rsidTr="007C2CAD">
        <w:trPr>
          <w:tblCellSpacing w:w="15" w:type="dxa"/>
        </w:trPr>
        <w:tc>
          <w:tcPr>
            <w:tcW w:w="522" w:type="dxa"/>
            <w:vAlign w:val="center"/>
          </w:tcPr>
          <w:p w14:paraId="1004A915" w14:textId="70CAE521" w:rsidR="00FF5131" w:rsidRPr="00C9551B" w:rsidRDefault="00FF5131" w:rsidP="00FF5131">
            <w:pPr>
              <w:spacing w:before="120" w:after="120" w:line="276" w:lineRule="auto"/>
              <w:rPr>
                <w:sz w:val="22"/>
                <w:szCs w:val="22"/>
              </w:rPr>
            </w:pPr>
            <w:r>
              <w:rPr>
                <w:sz w:val="22"/>
                <w:szCs w:val="22"/>
              </w:rPr>
              <w:lastRenderedPageBreak/>
              <w:t>16</w:t>
            </w:r>
          </w:p>
        </w:tc>
        <w:tc>
          <w:tcPr>
            <w:tcW w:w="6066" w:type="dxa"/>
          </w:tcPr>
          <w:p w14:paraId="1DD74646" w14:textId="40E101FC" w:rsidR="00FF5131" w:rsidRPr="00FF5131" w:rsidRDefault="00FF5131" w:rsidP="00FF5131">
            <w:pPr>
              <w:spacing w:before="120" w:after="120" w:line="276" w:lineRule="auto"/>
              <w:rPr>
                <w:sz w:val="22"/>
                <w:szCs w:val="22"/>
              </w:rPr>
            </w:pPr>
            <w:r w:rsidRPr="00FF5131">
              <w:rPr>
                <w:sz w:val="22"/>
                <w:szCs w:val="22"/>
              </w:rPr>
              <w:t xml:space="preserve">Manage storefront and client portal requirements in coordination with Head of Platform &amp; Technology </w:t>
            </w:r>
          </w:p>
        </w:tc>
        <w:tc>
          <w:tcPr>
            <w:tcW w:w="1812" w:type="dxa"/>
            <w:vAlign w:val="center"/>
          </w:tcPr>
          <w:p w14:paraId="66AFB562" w14:textId="0A7BD802" w:rsidR="00FF5131" w:rsidRPr="00C9551B" w:rsidRDefault="00A0274C" w:rsidP="00FF5131">
            <w:pPr>
              <w:spacing w:before="120" w:after="120" w:line="276" w:lineRule="auto"/>
              <w:rPr>
                <w:sz w:val="22"/>
                <w:szCs w:val="22"/>
              </w:rPr>
            </w:pPr>
            <w:r w:rsidRPr="00FF5131">
              <w:rPr>
                <w:sz w:val="22"/>
                <w:szCs w:val="22"/>
              </w:rPr>
              <w:t>Ongoing</w:t>
            </w:r>
          </w:p>
        </w:tc>
        <w:tc>
          <w:tcPr>
            <w:tcW w:w="810" w:type="dxa"/>
            <w:vAlign w:val="center"/>
          </w:tcPr>
          <w:p w14:paraId="7DCE5527" w14:textId="4FC66886" w:rsidR="00FF5131" w:rsidRPr="00C9551B" w:rsidRDefault="00A0274C" w:rsidP="00FF5131">
            <w:pPr>
              <w:spacing w:before="120" w:after="120" w:line="276" w:lineRule="auto"/>
              <w:rPr>
                <w:sz w:val="22"/>
                <w:szCs w:val="22"/>
              </w:rPr>
            </w:pPr>
            <w:r w:rsidRPr="00FF5131">
              <w:rPr>
                <w:sz w:val="22"/>
                <w:szCs w:val="22"/>
              </w:rPr>
              <w:t>Partially</w:t>
            </w:r>
          </w:p>
        </w:tc>
      </w:tr>
      <w:tr w:rsidR="00FF5131" w:rsidRPr="00C9551B" w14:paraId="29536F11" w14:textId="77777777" w:rsidTr="007C2CAD">
        <w:trPr>
          <w:tblCellSpacing w:w="15" w:type="dxa"/>
        </w:trPr>
        <w:tc>
          <w:tcPr>
            <w:tcW w:w="522" w:type="dxa"/>
            <w:vAlign w:val="center"/>
          </w:tcPr>
          <w:p w14:paraId="14AD9AF1" w14:textId="5081F982" w:rsidR="00FF5131" w:rsidRPr="00C9551B" w:rsidRDefault="00FF5131" w:rsidP="00FF5131">
            <w:pPr>
              <w:spacing w:before="120" w:after="120" w:line="276" w:lineRule="auto"/>
              <w:rPr>
                <w:sz w:val="22"/>
                <w:szCs w:val="22"/>
              </w:rPr>
            </w:pPr>
            <w:r>
              <w:rPr>
                <w:sz w:val="22"/>
                <w:szCs w:val="22"/>
              </w:rPr>
              <w:t>17</w:t>
            </w:r>
          </w:p>
        </w:tc>
        <w:tc>
          <w:tcPr>
            <w:tcW w:w="6066" w:type="dxa"/>
          </w:tcPr>
          <w:p w14:paraId="631DD9F4" w14:textId="5207D28A" w:rsidR="00FF5131" w:rsidRPr="00FF5131" w:rsidRDefault="00FF5131" w:rsidP="00FF5131">
            <w:pPr>
              <w:spacing w:before="120" w:after="120" w:line="276" w:lineRule="auto"/>
              <w:rPr>
                <w:sz w:val="22"/>
                <w:szCs w:val="22"/>
              </w:rPr>
            </w:pPr>
            <w:r w:rsidRPr="00FF5131">
              <w:rPr>
                <w:sz w:val="22"/>
                <w:szCs w:val="22"/>
              </w:rPr>
              <w:t xml:space="preserve">Lead RFP and proposal development for institutional and government opportunities </w:t>
            </w:r>
          </w:p>
        </w:tc>
        <w:tc>
          <w:tcPr>
            <w:tcW w:w="1812" w:type="dxa"/>
            <w:vAlign w:val="center"/>
          </w:tcPr>
          <w:p w14:paraId="0B3F5925" w14:textId="008BD053" w:rsidR="00FF5131" w:rsidRPr="00C9551B" w:rsidRDefault="00A0274C" w:rsidP="00FF5131">
            <w:pPr>
              <w:spacing w:before="120" w:after="120" w:line="276" w:lineRule="auto"/>
              <w:rPr>
                <w:sz w:val="22"/>
                <w:szCs w:val="22"/>
              </w:rPr>
            </w:pPr>
            <w:r w:rsidRPr="00FF5131">
              <w:rPr>
                <w:sz w:val="22"/>
                <w:szCs w:val="22"/>
              </w:rPr>
              <w:t>As needed</w:t>
            </w:r>
          </w:p>
        </w:tc>
        <w:tc>
          <w:tcPr>
            <w:tcW w:w="810" w:type="dxa"/>
            <w:vAlign w:val="center"/>
          </w:tcPr>
          <w:p w14:paraId="184BA707" w14:textId="13160960" w:rsidR="00FF5131" w:rsidRPr="00C9551B" w:rsidRDefault="00A0274C" w:rsidP="00FF5131">
            <w:pPr>
              <w:spacing w:before="120" w:after="120" w:line="276" w:lineRule="auto"/>
              <w:rPr>
                <w:sz w:val="22"/>
                <w:szCs w:val="22"/>
              </w:rPr>
            </w:pPr>
            <w:r w:rsidRPr="00FF5131">
              <w:rPr>
                <w:sz w:val="22"/>
                <w:szCs w:val="22"/>
              </w:rPr>
              <w:t>Partially</w:t>
            </w:r>
          </w:p>
        </w:tc>
      </w:tr>
    </w:tbl>
    <w:p w14:paraId="6174A40A" w14:textId="06F053D1" w:rsidR="00C9551B" w:rsidRPr="00C9551B" w:rsidRDefault="00C9551B" w:rsidP="00C9551B">
      <w:pPr>
        <w:spacing w:before="120" w:after="120" w:line="276" w:lineRule="auto"/>
        <w:rPr>
          <w:sz w:val="22"/>
          <w:szCs w:val="22"/>
        </w:rPr>
      </w:pPr>
      <w:r w:rsidRPr="00C9551B">
        <w:rPr>
          <w:i/>
          <w:iCs/>
          <w:sz w:val="22"/>
          <w:szCs w:val="22"/>
        </w:rPr>
        <w:t xml:space="preserve">We Know Training Inc. EOS Role Scorecard: </w:t>
      </w:r>
      <w:r w:rsidR="00A37F1F">
        <w:rPr>
          <w:i/>
          <w:iCs/>
          <w:sz w:val="22"/>
          <w:szCs w:val="22"/>
        </w:rPr>
        <w:t>Head of</w:t>
      </w:r>
      <w:r w:rsidRPr="00C9551B">
        <w:rPr>
          <w:i/>
          <w:iCs/>
          <w:sz w:val="22"/>
          <w:szCs w:val="22"/>
        </w:rPr>
        <w:t xml:space="preserve"> Revenue </w:t>
      </w:r>
    </w:p>
    <w:p w14:paraId="43DDB60F" w14:textId="77777777" w:rsidR="00E754D5" w:rsidRPr="00C9551B" w:rsidRDefault="00E754D5" w:rsidP="00C9551B">
      <w:pPr>
        <w:spacing w:before="120" w:after="120" w:line="276" w:lineRule="auto"/>
        <w:rPr>
          <w:sz w:val="22"/>
          <w:szCs w:val="22"/>
        </w:rPr>
      </w:pPr>
    </w:p>
    <w:sectPr w:rsidR="00E754D5" w:rsidRPr="00C9551B" w:rsidSect="006013B2">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8B"/>
    <w:multiLevelType w:val="hybridMultilevel"/>
    <w:tmpl w:val="19F414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F92982"/>
    <w:multiLevelType w:val="hybridMultilevel"/>
    <w:tmpl w:val="ED7E968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A93372"/>
    <w:multiLevelType w:val="hybridMultilevel"/>
    <w:tmpl w:val="3AA0739A"/>
    <w:lvl w:ilvl="0" w:tplc="531E2F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5E7399"/>
    <w:multiLevelType w:val="multilevel"/>
    <w:tmpl w:val="0DD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E32DD"/>
    <w:multiLevelType w:val="hybridMultilevel"/>
    <w:tmpl w:val="74A20EB2"/>
    <w:lvl w:ilvl="0" w:tplc="9418FB8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7041A6"/>
    <w:multiLevelType w:val="hybridMultilevel"/>
    <w:tmpl w:val="A14697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354354151">
    <w:abstractNumId w:val="3"/>
  </w:num>
  <w:num w:numId="2" w16cid:durableId="1601719407">
    <w:abstractNumId w:val="0"/>
  </w:num>
  <w:num w:numId="3" w16cid:durableId="2042045856">
    <w:abstractNumId w:val="2"/>
  </w:num>
  <w:num w:numId="4" w16cid:durableId="995956526">
    <w:abstractNumId w:val="5"/>
  </w:num>
  <w:num w:numId="5" w16cid:durableId="566258957">
    <w:abstractNumId w:val="4"/>
  </w:num>
  <w:num w:numId="6" w16cid:durableId="51079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B"/>
    <w:rsid w:val="00017436"/>
    <w:rsid w:val="00055CCB"/>
    <w:rsid w:val="00066A38"/>
    <w:rsid w:val="001078C4"/>
    <w:rsid w:val="00142E31"/>
    <w:rsid w:val="001A3007"/>
    <w:rsid w:val="00200B11"/>
    <w:rsid w:val="0024235C"/>
    <w:rsid w:val="00254949"/>
    <w:rsid w:val="002E43D4"/>
    <w:rsid w:val="002F7ABC"/>
    <w:rsid w:val="00366E35"/>
    <w:rsid w:val="00375FC3"/>
    <w:rsid w:val="0039302D"/>
    <w:rsid w:val="003C6C77"/>
    <w:rsid w:val="005958B4"/>
    <w:rsid w:val="005C6807"/>
    <w:rsid w:val="005F2368"/>
    <w:rsid w:val="005F7CE3"/>
    <w:rsid w:val="006013B2"/>
    <w:rsid w:val="00614E31"/>
    <w:rsid w:val="006608A4"/>
    <w:rsid w:val="00671332"/>
    <w:rsid w:val="00674D92"/>
    <w:rsid w:val="00687952"/>
    <w:rsid w:val="006B7781"/>
    <w:rsid w:val="006C44DE"/>
    <w:rsid w:val="00730B86"/>
    <w:rsid w:val="007533C1"/>
    <w:rsid w:val="00787968"/>
    <w:rsid w:val="00790ED6"/>
    <w:rsid w:val="007D77B4"/>
    <w:rsid w:val="00871510"/>
    <w:rsid w:val="008A65F5"/>
    <w:rsid w:val="00A0274C"/>
    <w:rsid w:val="00A11D8D"/>
    <w:rsid w:val="00A17081"/>
    <w:rsid w:val="00A37F1F"/>
    <w:rsid w:val="00A924AB"/>
    <w:rsid w:val="00AD52AD"/>
    <w:rsid w:val="00B457FE"/>
    <w:rsid w:val="00C9551B"/>
    <w:rsid w:val="00CF104D"/>
    <w:rsid w:val="00D04797"/>
    <w:rsid w:val="00D37109"/>
    <w:rsid w:val="00DC6A89"/>
    <w:rsid w:val="00E117CE"/>
    <w:rsid w:val="00E420D2"/>
    <w:rsid w:val="00E508CB"/>
    <w:rsid w:val="00E65F14"/>
    <w:rsid w:val="00E754D5"/>
    <w:rsid w:val="00EA6C91"/>
    <w:rsid w:val="00EE1078"/>
    <w:rsid w:val="00F0592A"/>
    <w:rsid w:val="00F24A8B"/>
    <w:rsid w:val="00F5751A"/>
    <w:rsid w:val="00F8711E"/>
    <w:rsid w:val="00FF51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B536"/>
  <w15:chartTrackingRefBased/>
  <w15:docId w15:val="{10678066-759B-4EAB-BE14-9D93380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5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5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5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5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51B"/>
    <w:rPr>
      <w:rFonts w:eastAsiaTheme="majorEastAsia" w:cstheme="majorBidi"/>
      <w:color w:val="272727" w:themeColor="text1" w:themeTint="D8"/>
    </w:rPr>
  </w:style>
  <w:style w:type="paragraph" w:styleId="Title">
    <w:name w:val="Title"/>
    <w:basedOn w:val="Normal"/>
    <w:next w:val="Normal"/>
    <w:link w:val="TitleChar"/>
    <w:uiPriority w:val="10"/>
    <w:qFormat/>
    <w:rsid w:val="00C95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51B"/>
    <w:pPr>
      <w:spacing w:before="160"/>
      <w:jc w:val="center"/>
    </w:pPr>
    <w:rPr>
      <w:i/>
      <w:iCs/>
      <w:color w:val="404040" w:themeColor="text1" w:themeTint="BF"/>
    </w:rPr>
  </w:style>
  <w:style w:type="character" w:customStyle="1" w:styleId="QuoteChar">
    <w:name w:val="Quote Char"/>
    <w:basedOn w:val="DefaultParagraphFont"/>
    <w:link w:val="Quote"/>
    <w:uiPriority w:val="29"/>
    <w:rsid w:val="00C9551B"/>
    <w:rPr>
      <w:i/>
      <w:iCs/>
      <w:color w:val="404040" w:themeColor="text1" w:themeTint="BF"/>
    </w:rPr>
  </w:style>
  <w:style w:type="paragraph" w:styleId="ListParagraph">
    <w:name w:val="List Paragraph"/>
    <w:basedOn w:val="Normal"/>
    <w:uiPriority w:val="34"/>
    <w:qFormat/>
    <w:rsid w:val="00C9551B"/>
    <w:pPr>
      <w:ind w:left="720"/>
      <w:contextualSpacing/>
    </w:pPr>
  </w:style>
  <w:style w:type="character" w:styleId="IntenseEmphasis">
    <w:name w:val="Intense Emphasis"/>
    <w:basedOn w:val="DefaultParagraphFont"/>
    <w:uiPriority w:val="21"/>
    <w:qFormat/>
    <w:rsid w:val="00C9551B"/>
    <w:rPr>
      <w:i/>
      <w:iCs/>
      <w:color w:val="0F4761" w:themeColor="accent1" w:themeShade="BF"/>
    </w:rPr>
  </w:style>
  <w:style w:type="paragraph" w:styleId="IntenseQuote">
    <w:name w:val="Intense Quote"/>
    <w:basedOn w:val="Normal"/>
    <w:next w:val="Normal"/>
    <w:link w:val="IntenseQuoteChar"/>
    <w:uiPriority w:val="30"/>
    <w:qFormat/>
    <w:rsid w:val="00C95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51B"/>
    <w:rPr>
      <w:i/>
      <w:iCs/>
      <w:color w:val="0F4761" w:themeColor="accent1" w:themeShade="BF"/>
    </w:rPr>
  </w:style>
  <w:style w:type="character" w:styleId="IntenseReference">
    <w:name w:val="Intense Reference"/>
    <w:basedOn w:val="DefaultParagraphFont"/>
    <w:uiPriority w:val="32"/>
    <w:qFormat/>
    <w:rsid w:val="00C95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7</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51</cp:revision>
  <dcterms:created xsi:type="dcterms:W3CDTF">2026-03-24T01:40:00Z</dcterms:created>
  <dcterms:modified xsi:type="dcterms:W3CDTF">2026-04-05T02:54:00Z</dcterms:modified>
</cp:coreProperties>
</file>